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jc w:val="center"/>
        <w:textAlignment w:val="auto"/>
        <w:rPr>
          <w:rFonts w:hint="eastAsia" w:ascii="方正小标宋简体" w:hAnsi="方正小标宋简体" w:eastAsia="方正小标宋简体" w:cs="方正小标宋简体"/>
          <w:snapToGrid/>
          <w:sz w:val="72"/>
          <w:szCs w:val="72"/>
          <w:lang w:eastAsia="zh-CN" w:bidi="en-US"/>
        </w:rPr>
      </w:pPr>
      <w:r>
        <w:rPr>
          <w:rFonts w:hint="eastAsia" w:ascii="方正小标宋简体" w:hAnsi="方正小标宋简体" w:eastAsia="方正小标宋简体" w:cs="方正小标宋简体"/>
          <w:snapToGrid/>
          <w:sz w:val="72"/>
          <w:szCs w:val="72"/>
          <w:lang w:eastAsia="zh-CN" w:bidi="en-US"/>
        </w:rPr>
        <w:t>202</w:t>
      </w:r>
      <w:r>
        <w:rPr>
          <w:rFonts w:hint="eastAsia" w:ascii="方正小标宋简体" w:hAnsi="方正小标宋简体" w:eastAsia="方正小标宋简体" w:cs="方正小标宋简体"/>
          <w:snapToGrid/>
          <w:sz w:val="72"/>
          <w:szCs w:val="72"/>
          <w:lang w:val="en-US" w:eastAsia="zh-CN" w:bidi="en-US"/>
        </w:rPr>
        <w:t>3</w:t>
      </w:r>
      <w:r>
        <w:rPr>
          <w:rFonts w:hint="eastAsia" w:ascii="方正小标宋简体" w:hAnsi="方正小标宋简体" w:eastAsia="方正小标宋简体" w:cs="方正小标宋简体"/>
          <w:snapToGrid/>
          <w:sz w:val="72"/>
          <w:szCs w:val="72"/>
          <w:lang w:eastAsia="zh-CN" w:bidi="en-US"/>
        </w:rPr>
        <w:t>年</w:t>
      </w:r>
      <w:r>
        <w:rPr>
          <w:rFonts w:hint="eastAsia" w:ascii="方正小标宋简体" w:hAnsi="方正小标宋简体" w:eastAsia="方正小标宋简体" w:cs="方正小标宋简体"/>
          <w:snapToGrid/>
          <w:sz w:val="72"/>
          <w:szCs w:val="72"/>
          <w:lang w:val="en-US" w:eastAsia="zh-CN" w:bidi="en-US"/>
        </w:rPr>
        <w:t>鹤壁市</w:t>
      </w:r>
      <w:r>
        <w:rPr>
          <w:rFonts w:hint="eastAsia" w:ascii="方正小标宋简体" w:hAnsi="方正小标宋简体" w:eastAsia="方正小标宋简体" w:cs="方正小标宋简体"/>
          <w:snapToGrid/>
          <w:sz w:val="72"/>
          <w:szCs w:val="72"/>
          <w:lang w:eastAsia="zh-CN" w:bidi="en-US"/>
        </w:rPr>
        <w:t>鹤山区工业和信息化局</w:t>
      </w:r>
      <w:r>
        <w:rPr>
          <w:rFonts w:hint="eastAsia" w:ascii="方正小标宋简体" w:hAnsi="方正小标宋简体" w:eastAsia="方正小标宋简体" w:cs="方正小标宋简体"/>
          <w:snapToGrid/>
          <w:sz w:val="72"/>
          <w:szCs w:val="72"/>
          <w:lang w:val="en-US" w:eastAsia="zh-CN" w:bidi="en-US"/>
        </w:rPr>
        <w:t>部门</w:t>
      </w:r>
      <w:r>
        <w:rPr>
          <w:rFonts w:hint="eastAsia" w:ascii="方正小标宋简体" w:hAnsi="方正小标宋简体" w:eastAsia="方正小标宋简体" w:cs="方正小标宋简体"/>
          <w:snapToGrid/>
          <w:sz w:val="72"/>
          <w:szCs w:val="72"/>
          <w:lang w:eastAsia="zh-CN" w:bidi="en-US"/>
        </w:rPr>
        <w:t>预算</w:t>
      </w:r>
    </w:p>
    <w:p>
      <w:pPr>
        <w:keepNext w:val="0"/>
        <w:keepLines w:val="0"/>
        <w:pageBreakBefore w:val="0"/>
        <w:widowControl/>
        <w:wordWrap/>
        <w:topLinePunct w:val="0"/>
        <w:bidi w:val="0"/>
        <w:spacing w:before="140" w:line="580" w:lineRule="exact"/>
        <w:ind w:left="3662"/>
        <w:outlineLvl w:val="0"/>
        <w:rPr>
          <w:rFonts w:hint="eastAsia" w:ascii="方正小标宋简体" w:hAnsi="方正小标宋简体" w:eastAsia="方正小标宋简体" w:cs="方正小标宋简体"/>
          <w:spacing w:val="-12"/>
          <w:sz w:val="72"/>
          <w:szCs w:val="72"/>
        </w:rPr>
      </w:pPr>
    </w:p>
    <w:p>
      <w:pPr>
        <w:pStyle w:val="2"/>
        <w:rPr>
          <w:rFonts w:ascii="黑体" w:hAnsi="黑体" w:eastAsia="黑体" w:cs="黑体"/>
          <w:spacing w:val="-12"/>
          <w:sz w:val="32"/>
          <w:szCs w:val="32"/>
        </w:rPr>
      </w:pPr>
    </w:p>
    <w:p>
      <w:pPr>
        <w:rPr>
          <w:rFonts w:ascii="黑体" w:hAnsi="黑体" w:eastAsia="黑体" w:cs="黑体"/>
          <w:spacing w:val="-12"/>
          <w:sz w:val="32"/>
          <w:szCs w:val="32"/>
        </w:rPr>
      </w:pPr>
    </w:p>
    <w:p>
      <w:pPr>
        <w:pStyle w:val="2"/>
        <w:rPr>
          <w:rFonts w:ascii="黑体" w:hAnsi="黑体" w:eastAsia="黑体" w:cs="黑体"/>
          <w:spacing w:val="-12"/>
          <w:sz w:val="32"/>
          <w:szCs w:val="32"/>
        </w:rPr>
      </w:pPr>
    </w:p>
    <w:p>
      <w:pPr>
        <w:rPr>
          <w:rFonts w:ascii="黑体" w:hAnsi="黑体" w:eastAsia="黑体" w:cs="黑体"/>
          <w:spacing w:val="-12"/>
          <w:sz w:val="32"/>
          <w:szCs w:val="32"/>
        </w:rPr>
      </w:pPr>
    </w:p>
    <w:p>
      <w:pPr>
        <w:pStyle w:val="2"/>
        <w:rPr>
          <w:rFonts w:ascii="黑体" w:hAnsi="黑体" w:eastAsia="黑体" w:cs="黑体"/>
          <w:spacing w:val="-12"/>
          <w:sz w:val="32"/>
          <w:szCs w:val="32"/>
        </w:rPr>
      </w:pPr>
    </w:p>
    <w:p>
      <w:pPr>
        <w:jc w:val="center"/>
        <w:rPr>
          <w:rFonts w:hint="eastAsia" w:ascii="方正小标宋简体" w:hAnsi="方正小标宋简体" w:eastAsia="方正小标宋简体" w:cs="方正小标宋简体"/>
          <w:sz w:val="52"/>
          <w:szCs w:val="52"/>
          <w:lang w:eastAsia="zh-CN"/>
        </w:rPr>
      </w:pPr>
    </w:p>
    <w:p>
      <w:pPr>
        <w:jc w:val="center"/>
        <w:rPr>
          <w:rFonts w:hint="eastAsia" w:ascii="方正小标宋简体" w:hAnsi="方正小标宋简体" w:eastAsia="方正小标宋简体" w:cs="方正小标宋简体"/>
          <w:sz w:val="52"/>
          <w:szCs w:val="52"/>
          <w:lang w:eastAsia="zh-CN"/>
        </w:rPr>
      </w:pPr>
    </w:p>
    <w:p>
      <w:pPr>
        <w:jc w:val="center"/>
        <w:rPr>
          <w:rFonts w:hint="eastAsia" w:ascii="方正小标宋简体" w:hAnsi="方正小标宋简体" w:eastAsia="方正小标宋简体" w:cs="方正小标宋简体"/>
          <w:sz w:val="52"/>
          <w:szCs w:val="52"/>
          <w:lang w:eastAsia="zh-CN"/>
        </w:rPr>
      </w:pPr>
    </w:p>
    <w:p>
      <w:pPr>
        <w:jc w:val="center"/>
        <w:rPr>
          <w:rFonts w:ascii="方正小标宋简体" w:eastAsia="方正小标宋简体"/>
          <w:sz w:val="52"/>
          <w:szCs w:val="52"/>
          <w:lang w:eastAsia="zh-CN"/>
        </w:rPr>
      </w:pPr>
      <w:r>
        <w:rPr>
          <w:rFonts w:hint="eastAsia" w:ascii="方正小标宋简体" w:hAnsi="方正小标宋简体" w:eastAsia="方正小标宋简体" w:cs="方正小标宋简体"/>
          <w:sz w:val="52"/>
          <w:szCs w:val="52"/>
          <w:lang w:eastAsia="zh-CN"/>
        </w:rPr>
        <w:t>2023年2</w:t>
      </w:r>
      <w:r>
        <w:rPr>
          <w:rFonts w:hint="eastAsia" w:ascii="方正小标宋简体" w:eastAsia="方正小标宋简体"/>
          <w:sz w:val="52"/>
          <w:szCs w:val="52"/>
          <w:lang w:eastAsia="zh-CN"/>
        </w:rPr>
        <w:t>月</w:t>
      </w:r>
    </w:p>
    <w:p>
      <w:pPr>
        <w:pStyle w:val="12"/>
        <w:rPr>
          <w:rFonts w:hint="eastAsia" w:ascii="黑体" w:hAnsi="黑体" w:eastAsia="黑体" w:cs="宋体"/>
          <w:color w:val="000000"/>
          <w:kern w:val="0"/>
          <w:sz w:val="44"/>
          <w:szCs w:val="44"/>
          <w:lang w:val="en-US" w:eastAsia="zh-CN" w:bidi="ar-SA"/>
        </w:rPr>
      </w:pPr>
    </w:p>
    <w:p>
      <w:pPr>
        <w:pStyle w:val="12"/>
      </w:pPr>
      <w:r>
        <w:rPr>
          <w:rFonts w:hint="eastAsia" w:ascii="方正小标宋简体" w:hAnsi="方正小标宋简体" w:eastAsia="方正小标宋简体" w:cs="方正小标宋简体"/>
          <w:b/>
          <w:bCs/>
          <w:sz w:val="44"/>
          <w:szCs w:val="44"/>
          <w:lang w:val="zh-CN" w:eastAsia="zh-CN" w:bidi="zh-CN"/>
        </w:rPr>
        <w:t>202</w:t>
      </w:r>
      <w:r>
        <w:rPr>
          <w:rFonts w:hint="eastAsia" w:ascii="方正小标宋简体" w:hAnsi="方正小标宋简体" w:eastAsia="方正小标宋简体" w:cs="方正小标宋简体"/>
          <w:b/>
          <w:bCs/>
          <w:sz w:val="44"/>
          <w:szCs w:val="44"/>
          <w:lang w:val="en-US" w:eastAsia="zh-CN" w:bidi="zh-CN"/>
        </w:rPr>
        <w:t>3</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鹤壁市</w:t>
      </w:r>
      <w:r>
        <w:rPr>
          <w:rFonts w:hint="eastAsia" w:ascii="方正小标宋简体" w:hAnsi="方正小标宋简体" w:eastAsia="方正小标宋简体" w:cs="方正小标宋简体"/>
          <w:sz w:val="44"/>
          <w:szCs w:val="44"/>
          <w:lang w:val="en-US" w:eastAsia="zh-CN"/>
        </w:rPr>
        <w:t>工业和信息化局</w:t>
      </w:r>
      <w:r>
        <w:rPr>
          <w:rFonts w:hint="eastAsia" w:ascii="方正小标宋简体" w:hAnsi="方正小标宋简体" w:eastAsia="方正小标宋简体" w:cs="方正小标宋简体"/>
          <w:sz w:val="44"/>
          <w:szCs w:val="44"/>
        </w:rPr>
        <w:t>部门预算</w:t>
      </w:r>
    </w:p>
    <w:p>
      <w:pPr>
        <w:keepNext w:val="0"/>
        <w:keepLines w:val="0"/>
        <w:pageBreakBefore w:val="0"/>
        <w:widowControl/>
        <w:wordWrap/>
        <w:topLinePunct w:val="0"/>
        <w:bidi w:val="0"/>
        <w:spacing w:before="101" w:line="580" w:lineRule="exact"/>
        <w:ind w:firstLine="1120" w:firstLineChars="200"/>
        <w:jc w:val="center"/>
        <w:outlineLvl w:val="0"/>
        <w:rPr>
          <w:rFonts w:hint="eastAsia" w:ascii="黑体" w:hAnsi="黑体" w:eastAsia="黑体" w:cs="黑体"/>
          <w:sz w:val="56"/>
          <w:szCs w:val="56"/>
        </w:rPr>
      </w:pPr>
      <w:r>
        <w:rPr>
          <w:rFonts w:hint="eastAsia" w:ascii="黑体" w:hAnsi="黑体" w:eastAsia="黑体" w:cs="黑体"/>
          <w:sz w:val="56"/>
          <w:szCs w:val="56"/>
        </w:rPr>
        <w:t>目</w:t>
      </w:r>
      <w:r>
        <w:rPr>
          <w:rFonts w:hint="eastAsia" w:ascii="黑体" w:hAnsi="黑体" w:eastAsia="黑体" w:cs="黑体"/>
          <w:sz w:val="56"/>
          <w:szCs w:val="56"/>
          <w:lang w:val="en-US" w:eastAsia="zh-CN"/>
        </w:rPr>
        <w:t xml:space="preserve"> </w:t>
      </w:r>
      <w:r>
        <w:rPr>
          <w:rFonts w:hint="eastAsia" w:ascii="黑体" w:hAnsi="黑体" w:eastAsia="黑体" w:cs="黑体"/>
          <w:sz w:val="56"/>
          <w:szCs w:val="56"/>
        </w:rPr>
        <w:t>录</w:t>
      </w:r>
    </w:p>
    <w:p>
      <w:pPr>
        <w:pStyle w:val="11"/>
        <w:spacing w:line="580" w:lineRule="exact"/>
        <w:ind w:firstLine="620"/>
        <w:rPr>
          <w:rFonts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鹤壁市</w:t>
      </w:r>
      <w:r>
        <w:rPr>
          <w:rFonts w:hint="eastAsia" w:ascii="黑体" w:hAnsi="黑体" w:eastAsia="黑体" w:cs="黑体"/>
          <w:spacing w:val="-13"/>
          <w:sz w:val="31"/>
          <w:szCs w:val="31"/>
        </w:rPr>
        <w:t>鹤山区工业和信息化局</w:t>
      </w:r>
      <w:r>
        <w:rPr>
          <w:rFonts w:hint="eastAsia" w:ascii="黑体" w:hAnsi="黑体" w:eastAsia="黑体" w:cs="黑体"/>
          <w:sz w:val="32"/>
          <w:szCs w:val="32"/>
        </w:rPr>
        <w:t>概况</w:t>
      </w:r>
    </w:p>
    <w:p>
      <w:pPr>
        <w:pStyle w:val="11"/>
        <w:tabs>
          <w:tab w:val="left" w:pos="1571"/>
        </w:tabs>
        <w:spacing w:line="580" w:lineRule="exact"/>
        <w:rPr>
          <w:rFonts w:hint="eastAsia" w:ascii="仿宋_GB2312" w:hAnsi="仿宋_GB2312" w:eastAsia="仿宋_GB2312" w:cs="仿宋_GB2312"/>
          <w:sz w:val="32"/>
          <w:szCs w:val="32"/>
          <w:highlight w:val="red"/>
        </w:rPr>
      </w:pPr>
      <w:bookmarkStart w:id="0" w:name="bookmark3"/>
      <w:r>
        <w:rPr>
          <w:rFonts w:hint="eastAsia" w:ascii="仿宋_GB2312" w:hAnsi="仿宋_GB2312" w:eastAsia="仿宋_GB2312" w:cs="仿宋_GB2312"/>
          <w:sz w:val="32"/>
          <w:szCs w:val="32"/>
        </w:rPr>
        <w:t>一</w:t>
      </w:r>
      <w:bookmarkEnd w:id="0"/>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机构设置及</w:t>
      </w:r>
      <w:r>
        <w:rPr>
          <w:rFonts w:hint="eastAsia" w:ascii="仿宋_GB2312" w:hAnsi="仿宋_GB2312" w:eastAsia="仿宋_GB2312" w:cs="仿宋_GB2312"/>
          <w:sz w:val="32"/>
          <w:szCs w:val="32"/>
        </w:rPr>
        <w:t>主要职责</w:t>
      </w:r>
      <w:bookmarkStart w:id="1" w:name="bookmark4"/>
    </w:p>
    <w:p>
      <w:pPr>
        <w:pStyle w:val="11"/>
        <w:tabs>
          <w:tab w:val="left" w:pos="1571"/>
        </w:tabs>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bookmarkEnd w:id="1"/>
      <w:r>
        <w:rPr>
          <w:rFonts w:hint="eastAsia" w:ascii="仿宋_GB2312" w:hAnsi="仿宋_GB2312" w:eastAsia="仿宋_GB2312" w:cs="仿宋_GB2312"/>
          <w:sz w:val="32"/>
          <w:szCs w:val="32"/>
        </w:rPr>
        <w:t>、部门所属预算单位构成情况</w:t>
      </w:r>
    </w:p>
    <w:p>
      <w:pPr>
        <w:keepNext w:val="0"/>
        <w:keepLines w:val="0"/>
        <w:pageBreakBefore w:val="0"/>
        <w:widowControl/>
        <w:wordWrap/>
        <w:topLinePunct w:val="0"/>
        <w:bidi w:val="0"/>
        <w:spacing w:before="171" w:line="580" w:lineRule="exact"/>
        <w:ind w:left="309" w:leftChars="147" w:firstLine="258" w:firstLineChars="100"/>
        <w:outlineLvl w:val="0"/>
        <w:rPr>
          <w:rFonts w:hint="default" w:ascii="Times New Roman" w:hAnsi="Times New Roman" w:eastAsia="仿宋_GB2312" w:cs="Times New Roman"/>
          <w:sz w:val="32"/>
          <w:szCs w:val="32"/>
        </w:rPr>
      </w:pPr>
      <w:r>
        <w:rPr>
          <w:rFonts w:ascii="黑体" w:hAnsi="黑体" w:eastAsia="黑体" w:cs="黑体"/>
          <w:spacing w:val="-26"/>
          <w:sz w:val="31"/>
          <w:szCs w:val="31"/>
        </w:rPr>
        <w:t>第</w:t>
      </w:r>
      <w:r>
        <w:rPr>
          <w:rFonts w:ascii="黑体" w:hAnsi="黑体" w:eastAsia="黑体" w:cs="黑体"/>
          <w:spacing w:val="-19"/>
          <w:sz w:val="31"/>
          <w:szCs w:val="31"/>
        </w:rPr>
        <w:t>二</w:t>
      </w:r>
      <w:r>
        <w:rPr>
          <w:rFonts w:ascii="黑体" w:hAnsi="黑体" w:eastAsia="黑体" w:cs="黑体"/>
          <w:spacing w:val="-13"/>
          <w:sz w:val="31"/>
          <w:szCs w:val="31"/>
        </w:rPr>
        <w:t xml:space="preserve">部分 </w:t>
      </w:r>
      <w:r>
        <w:rPr>
          <w:rFonts w:hint="eastAsia" w:ascii="黑体" w:hAnsi="黑体" w:eastAsia="黑体" w:cs="黑体"/>
          <w:spacing w:val="-13"/>
          <w:sz w:val="31"/>
          <w:szCs w:val="31"/>
        </w:rPr>
        <w:t>鹤壁市鹤山区工业和信息化局</w:t>
      </w:r>
      <w:r>
        <w:rPr>
          <w:rFonts w:ascii="Times New Roman" w:hAnsi="Times New Roman" w:eastAsia="Times New Roman" w:cs="Times New Roman"/>
          <w:spacing w:val="-13"/>
          <w:sz w:val="31"/>
          <w:szCs w:val="31"/>
        </w:rPr>
        <w:t>202</w:t>
      </w:r>
      <w:r>
        <w:rPr>
          <w:rFonts w:hint="eastAsia" w:ascii="Times New Roman" w:hAnsi="Times New Roman" w:eastAsia="宋体" w:cs="Times New Roman"/>
          <w:spacing w:val="-13"/>
          <w:sz w:val="31"/>
          <w:szCs w:val="31"/>
          <w:lang w:val="en-US" w:eastAsia="zh-CN"/>
        </w:rPr>
        <w:t>3</w:t>
      </w:r>
      <w:r>
        <w:rPr>
          <w:rFonts w:ascii="黑体" w:hAnsi="黑体" w:eastAsia="黑体" w:cs="黑体"/>
          <w:spacing w:val="-13"/>
          <w:sz w:val="31"/>
          <w:szCs w:val="31"/>
        </w:rPr>
        <w:t>年</w:t>
      </w:r>
      <w:r>
        <w:rPr>
          <w:rFonts w:hint="eastAsia" w:ascii="黑体" w:hAnsi="黑体" w:eastAsia="黑体" w:cs="黑体"/>
          <w:spacing w:val="-13"/>
          <w:sz w:val="31"/>
          <w:szCs w:val="31"/>
          <w:lang w:val="en-US" w:eastAsia="zh-CN"/>
        </w:rPr>
        <w:t>部门</w:t>
      </w:r>
      <w:r>
        <w:rPr>
          <w:rFonts w:ascii="黑体" w:hAnsi="黑体" w:eastAsia="黑体" w:cs="黑体"/>
          <w:spacing w:val="-13"/>
          <w:sz w:val="31"/>
          <w:szCs w:val="31"/>
        </w:rPr>
        <w:t>预算情况说明</w:t>
      </w:r>
      <w:r>
        <w:rPr>
          <w:rFonts w:hint="default" w:ascii="Times New Roman" w:hAnsi="Times New Roman" w:eastAsia="仿宋_GB2312" w:cs="Times New Roman"/>
          <w:sz w:val="32"/>
          <w:szCs w:val="32"/>
        </w:rPr>
        <w:t>一、收入支出预算总体情况说明</w:t>
      </w:r>
    </w:p>
    <w:p>
      <w:pPr>
        <w:pStyle w:val="11"/>
        <w:tabs>
          <w:tab w:val="left" w:pos="1571"/>
        </w:tabs>
        <w:spacing w:line="580" w:lineRule="exact"/>
        <w:ind w:left="0" w:leftChars="0"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二、收入预算总体情况说明</w:t>
      </w:r>
    </w:p>
    <w:p>
      <w:pPr>
        <w:pStyle w:val="11"/>
        <w:tabs>
          <w:tab w:val="left" w:pos="1571"/>
        </w:tabs>
        <w:spacing w:line="580" w:lineRule="exact"/>
        <w:ind w:left="0" w:leftChars="0"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三、支出预算总体情况说明</w:t>
      </w:r>
    </w:p>
    <w:p>
      <w:pPr>
        <w:pStyle w:val="11"/>
        <w:tabs>
          <w:tab w:val="left" w:pos="1571"/>
        </w:tabs>
        <w:spacing w:line="580" w:lineRule="exact"/>
        <w:ind w:left="0" w:leftChars="0"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四、财政拨款收支预算总体情况说明</w:t>
      </w:r>
    </w:p>
    <w:p>
      <w:pPr>
        <w:pStyle w:val="11"/>
        <w:tabs>
          <w:tab w:val="left" w:pos="1571"/>
        </w:tabs>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五、一般公共预算支出预算情况说明</w:t>
      </w:r>
    </w:p>
    <w:p>
      <w:pPr>
        <w:keepNext w:val="0"/>
        <w:keepLines w:val="0"/>
        <w:pageBreakBefore w:val="0"/>
        <w:widowControl/>
        <w:wordWrap/>
        <w:topLinePunct w:val="0"/>
        <w:bidi w:val="0"/>
        <w:spacing w:line="580" w:lineRule="exact"/>
        <w:ind w:firstLine="320" w:firstLineChars="1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、一般公共预算基本支出预算情况说明</w:t>
      </w:r>
    </w:p>
    <w:p>
      <w:pPr>
        <w:pStyle w:val="11"/>
        <w:tabs>
          <w:tab w:val="left" w:pos="1571"/>
        </w:tabs>
        <w:spacing w:line="580" w:lineRule="exact"/>
        <w:ind w:left="0" w:leftChars="0" w:firstLine="320" w:firstLineChars="1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七、一般公共预算</w:t>
      </w:r>
      <w:r>
        <w:rPr>
          <w:rFonts w:hint="default" w:ascii="Times New Roman" w:hAnsi="Times New Roman" w:eastAsia="仿宋_GB2312" w:cs="Times New Roman"/>
          <w:sz w:val="32"/>
          <w:szCs w:val="32"/>
          <w:lang w:val="zh-CN" w:eastAsia="zh-CN"/>
        </w:rPr>
        <w:t>“三</w:t>
      </w:r>
      <w:r>
        <w:rPr>
          <w:rFonts w:hint="default" w:ascii="Times New Roman" w:hAnsi="Times New Roman" w:eastAsia="仿宋_GB2312" w:cs="Times New Roman"/>
          <w:sz w:val="32"/>
          <w:szCs w:val="32"/>
        </w:rPr>
        <w:t>公”经费预算情况说明</w:t>
      </w:r>
    </w:p>
    <w:p>
      <w:pPr>
        <w:pStyle w:val="11"/>
        <w:tabs>
          <w:tab w:val="left" w:pos="1571"/>
        </w:tabs>
        <w:spacing w:line="580" w:lineRule="exact"/>
        <w:ind w:left="0" w:leftChars="0"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八、政府性基金支出预算情况说明</w:t>
      </w:r>
    </w:p>
    <w:p>
      <w:pPr>
        <w:pStyle w:val="11"/>
        <w:tabs>
          <w:tab w:val="left" w:pos="1571"/>
        </w:tabs>
        <w:spacing w:line="580" w:lineRule="exact"/>
        <w:ind w:left="0" w:leftChars="0" w:firstLine="320" w:firstLineChars="100"/>
        <w:rPr>
          <w:rFonts w:hint="default" w:ascii="Times New Roman" w:hAnsi="Times New Roman" w:eastAsia="仿宋_GB2312" w:cs="Times New Roman"/>
          <w:spacing w:val="1"/>
          <w:sz w:val="31"/>
          <w:szCs w:val="31"/>
        </w:rPr>
      </w:pPr>
      <w:r>
        <w:rPr>
          <w:rFonts w:hint="eastAsia" w:ascii="Times New Roman" w:hAnsi="Times New Roman" w:eastAsia="仿宋_GB2312" w:cs="Times New Roman"/>
          <w:sz w:val="32"/>
          <w:szCs w:val="32"/>
          <w:lang w:val="en-US" w:eastAsia="zh-CN"/>
        </w:rPr>
        <w:t>九</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其他重要事项情况说明</w:t>
      </w:r>
    </w:p>
    <w:p>
      <w:pPr>
        <w:keepNext w:val="0"/>
        <w:keepLines w:val="0"/>
        <w:pageBreakBefore w:val="0"/>
        <w:widowControl/>
        <w:wordWrap/>
        <w:topLinePunct w:val="0"/>
        <w:bidi w:val="0"/>
        <w:spacing w:before="220" w:line="580" w:lineRule="exact"/>
        <w:ind w:firstLine="624" w:firstLineChars="200"/>
        <w:outlineLvl w:val="0"/>
        <w:rPr>
          <w:rFonts w:ascii="黑体" w:hAnsi="黑体" w:eastAsia="黑体" w:cs="黑体"/>
          <w:sz w:val="31"/>
          <w:szCs w:val="31"/>
        </w:rPr>
      </w:pPr>
      <w:r>
        <w:rPr>
          <w:rFonts w:ascii="黑体" w:hAnsi="黑体" w:eastAsia="黑体" w:cs="黑体"/>
          <w:spacing w:val="1"/>
          <w:sz w:val="31"/>
          <w:szCs w:val="31"/>
        </w:rPr>
        <w:t>第三部分 名</w:t>
      </w:r>
      <w:r>
        <w:rPr>
          <w:rFonts w:ascii="黑体" w:hAnsi="黑体" w:eastAsia="黑体" w:cs="黑体"/>
          <w:sz w:val="31"/>
          <w:szCs w:val="31"/>
        </w:rPr>
        <w:t>词解释</w:t>
      </w:r>
    </w:p>
    <w:p>
      <w:pPr>
        <w:keepNext w:val="0"/>
        <w:keepLines w:val="0"/>
        <w:pageBreakBefore w:val="0"/>
        <w:widowControl/>
        <w:wordWrap/>
        <w:topLinePunct w:val="0"/>
        <w:bidi w:val="0"/>
        <w:spacing w:before="219" w:line="580" w:lineRule="exact"/>
        <w:ind w:firstLine="604" w:firstLineChars="200"/>
        <w:outlineLvl w:val="0"/>
        <w:rPr>
          <w:rFonts w:ascii="黑体" w:hAnsi="黑体" w:eastAsia="黑体" w:cs="黑体"/>
          <w:sz w:val="31"/>
          <w:szCs w:val="31"/>
        </w:rPr>
      </w:pPr>
      <w:r>
        <w:rPr>
          <w:rFonts w:ascii="黑体" w:hAnsi="黑体" w:eastAsia="黑体" w:cs="黑体"/>
          <w:spacing w:val="-4"/>
          <w:sz w:val="31"/>
          <w:szCs w:val="31"/>
        </w:rPr>
        <w:t>附</w:t>
      </w:r>
      <w:r>
        <w:rPr>
          <w:rFonts w:ascii="黑体" w:hAnsi="黑体" w:eastAsia="黑体" w:cs="黑体"/>
          <w:spacing w:val="-3"/>
          <w:sz w:val="31"/>
          <w:szCs w:val="31"/>
        </w:rPr>
        <w:t>件：</w:t>
      </w:r>
      <w:r>
        <w:rPr>
          <w:rFonts w:hint="eastAsia" w:ascii="黑体" w:hAnsi="黑体" w:eastAsia="黑体" w:cs="黑体"/>
          <w:spacing w:val="-3"/>
          <w:sz w:val="31"/>
          <w:szCs w:val="31"/>
        </w:rPr>
        <w:t>鹤壁市鹤山区工业和信息化局</w:t>
      </w:r>
      <w:r>
        <w:rPr>
          <w:rFonts w:ascii="Times New Roman" w:hAnsi="Times New Roman" w:eastAsia="Times New Roman" w:cs="Times New Roman"/>
          <w:spacing w:val="-3"/>
          <w:sz w:val="31"/>
          <w:szCs w:val="31"/>
        </w:rPr>
        <w:t>202</w:t>
      </w:r>
      <w:r>
        <w:rPr>
          <w:rFonts w:hint="eastAsia" w:ascii="Times New Roman" w:hAnsi="Times New Roman" w:eastAsia="宋体" w:cs="Times New Roman"/>
          <w:spacing w:val="-3"/>
          <w:sz w:val="31"/>
          <w:szCs w:val="31"/>
          <w:lang w:val="en-US" w:eastAsia="zh-CN"/>
        </w:rPr>
        <w:t>3</w:t>
      </w:r>
      <w:r>
        <w:rPr>
          <w:rFonts w:ascii="Times New Roman" w:hAnsi="Times New Roman" w:eastAsia="Times New Roman" w:cs="Times New Roman"/>
          <w:spacing w:val="-3"/>
          <w:sz w:val="31"/>
          <w:szCs w:val="31"/>
        </w:rPr>
        <w:t xml:space="preserve"> </w:t>
      </w:r>
      <w:r>
        <w:rPr>
          <w:rFonts w:ascii="黑体" w:hAnsi="黑体" w:eastAsia="黑体" w:cs="黑体"/>
          <w:spacing w:val="-3"/>
          <w:sz w:val="31"/>
          <w:szCs w:val="31"/>
        </w:rPr>
        <w:t>年</w:t>
      </w:r>
      <w:r>
        <w:rPr>
          <w:rFonts w:hint="eastAsia" w:ascii="黑体" w:hAnsi="黑体" w:eastAsia="黑体" w:cs="黑体"/>
          <w:spacing w:val="-3"/>
          <w:sz w:val="31"/>
          <w:szCs w:val="31"/>
          <w:lang w:val="en-US" w:eastAsia="zh-CN"/>
        </w:rPr>
        <w:t>部门</w:t>
      </w:r>
      <w:r>
        <w:rPr>
          <w:rFonts w:ascii="黑体" w:hAnsi="黑体" w:eastAsia="黑体" w:cs="黑体"/>
          <w:spacing w:val="-3"/>
          <w:sz w:val="31"/>
          <w:szCs w:val="31"/>
        </w:rPr>
        <w:t>预算表</w:t>
      </w:r>
    </w:p>
    <w:p>
      <w:pPr>
        <w:pStyle w:val="11"/>
        <w:tabs>
          <w:tab w:val="left" w:pos="1571"/>
        </w:tabs>
        <w:spacing w:line="580" w:lineRule="exact"/>
        <w:ind w:firstLine="940"/>
        <w:rPr>
          <w:rFonts w:ascii="仿宋_GB2312" w:hAnsi="仿宋_GB2312" w:eastAsia="仿宋_GB2312" w:cs="仿宋_GB2312"/>
          <w:sz w:val="32"/>
          <w:szCs w:val="32"/>
        </w:rPr>
      </w:pPr>
      <w:bookmarkStart w:id="2" w:name="bookmark5"/>
      <w:r>
        <w:rPr>
          <w:rFonts w:hint="eastAsia" w:ascii="仿宋_GB2312" w:hAnsi="仿宋_GB2312" w:eastAsia="仿宋_GB2312" w:cs="仿宋_GB2312"/>
          <w:sz w:val="32"/>
          <w:szCs w:val="32"/>
        </w:rPr>
        <w:t>一</w:t>
      </w:r>
      <w:bookmarkEnd w:id="2"/>
      <w:r>
        <w:rPr>
          <w:rFonts w:hint="eastAsia" w:ascii="仿宋_GB2312" w:hAnsi="仿宋_GB2312" w:eastAsia="仿宋_GB2312" w:cs="仿宋_GB2312"/>
          <w:sz w:val="32"/>
          <w:szCs w:val="32"/>
        </w:rPr>
        <w:t>、部门收支</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表</w:t>
      </w:r>
    </w:p>
    <w:p>
      <w:pPr>
        <w:pStyle w:val="11"/>
        <w:tabs>
          <w:tab w:val="left" w:pos="1571"/>
        </w:tabs>
        <w:spacing w:line="580" w:lineRule="exact"/>
        <w:ind w:firstLine="940"/>
        <w:rPr>
          <w:rFonts w:ascii="仿宋_GB2312" w:hAnsi="仿宋_GB2312" w:eastAsia="仿宋_GB2312" w:cs="仿宋_GB2312"/>
          <w:sz w:val="32"/>
          <w:szCs w:val="32"/>
        </w:rPr>
      </w:pPr>
      <w:bookmarkStart w:id="3" w:name="bookmark6"/>
      <w:r>
        <w:rPr>
          <w:rFonts w:hint="eastAsia" w:ascii="仿宋_GB2312" w:hAnsi="仿宋_GB2312" w:eastAsia="仿宋_GB2312" w:cs="仿宋_GB2312"/>
          <w:sz w:val="32"/>
          <w:szCs w:val="32"/>
        </w:rPr>
        <w:t>二</w:t>
      </w:r>
      <w:bookmarkEnd w:id="3"/>
      <w:r>
        <w:rPr>
          <w:rFonts w:hint="eastAsia" w:ascii="仿宋_GB2312" w:hAnsi="仿宋_GB2312" w:eastAsia="仿宋_GB2312" w:cs="仿宋_GB2312"/>
          <w:sz w:val="32"/>
          <w:szCs w:val="32"/>
        </w:rPr>
        <w:t>、部门收入</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表</w:t>
      </w:r>
    </w:p>
    <w:p>
      <w:pPr>
        <w:pStyle w:val="11"/>
        <w:tabs>
          <w:tab w:val="left" w:pos="1571"/>
        </w:tabs>
        <w:spacing w:line="580" w:lineRule="exact"/>
        <w:ind w:firstLine="940"/>
        <w:rPr>
          <w:rFonts w:ascii="仿宋_GB2312" w:hAnsi="仿宋_GB2312" w:eastAsia="仿宋_GB2312" w:cs="仿宋_GB2312"/>
          <w:sz w:val="32"/>
          <w:szCs w:val="32"/>
        </w:rPr>
      </w:pPr>
      <w:bookmarkStart w:id="4" w:name="bookmark7"/>
      <w:r>
        <w:rPr>
          <w:rFonts w:hint="eastAsia" w:ascii="仿宋_GB2312" w:hAnsi="仿宋_GB2312" w:eastAsia="仿宋_GB2312" w:cs="仿宋_GB2312"/>
          <w:sz w:val="32"/>
          <w:szCs w:val="32"/>
        </w:rPr>
        <w:t>三</w:t>
      </w:r>
      <w:bookmarkEnd w:id="4"/>
      <w:r>
        <w:rPr>
          <w:rFonts w:hint="eastAsia" w:ascii="仿宋_GB2312" w:hAnsi="仿宋_GB2312" w:eastAsia="仿宋_GB2312" w:cs="仿宋_GB2312"/>
          <w:sz w:val="32"/>
          <w:szCs w:val="32"/>
        </w:rPr>
        <w:t>、部门支出</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表</w:t>
      </w:r>
    </w:p>
    <w:p>
      <w:pPr>
        <w:pStyle w:val="11"/>
        <w:tabs>
          <w:tab w:val="left" w:pos="1571"/>
        </w:tabs>
        <w:spacing w:line="580" w:lineRule="exact"/>
        <w:ind w:firstLine="940"/>
        <w:rPr>
          <w:rFonts w:ascii="仿宋_GB2312" w:hAnsi="仿宋_GB2312" w:eastAsia="仿宋_GB2312" w:cs="仿宋_GB2312"/>
          <w:sz w:val="32"/>
          <w:szCs w:val="32"/>
        </w:rPr>
      </w:pPr>
      <w:bookmarkStart w:id="5" w:name="bookmark8"/>
      <w:r>
        <w:rPr>
          <w:rFonts w:hint="eastAsia" w:ascii="仿宋_GB2312" w:hAnsi="仿宋_GB2312" w:eastAsia="仿宋_GB2312" w:cs="仿宋_GB2312"/>
          <w:sz w:val="32"/>
          <w:szCs w:val="32"/>
        </w:rPr>
        <w:t>四</w:t>
      </w:r>
      <w:bookmarkEnd w:id="5"/>
      <w:r>
        <w:rPr>
          <w:rFonts w:hint="eastAsia" w:ascii="仿宋_GB2312" w:hAnsi="仿宋_GB2312" w:eastAsia="仿宋_GB2312" w:cs="仿宋_GB2312"/>
          <w:sz w:val="32"/>
          <w:szCs w:val="32"/>
        </w:rPr>
        <w:t>、财政拨款收支</w:t>
      </w:r>
      <w:r>
        <w:rPr>
          <w:rFonts w:hint="eastAsia" w:ascii="仿宋_GB2312" w:hAnsi="仿宋_GB2312" w:eastAsia="仿宋_GB2312" w:cs="仿宋_GB2312"/>
          <w:sz w:val="32"/>
          <w:szCs w:val="32"/>
          <w:lang w:eastAsia="zh-CN"/>
        </w:rPr>
        <w:t>总体情况</w:t>
      </w:r>
      <w:r>
        <w:rPr>
          <w:rFonts w:hint="eastAsia" w:ascii="仿宋_GB2312" w:hAnsi="仿宋_GB2312" w:eastAsia="仿宋_GB2312" w:cs="仿宋_GB2312"/>
          <w:sz w:val="32"/>
          <w:szCs w:val="32"/>
        </w:rPr>
        <w:t>表</w:t>
      </w:r>
    </w:p>
    <w:p>
      <w:pPr>
        <w:pStyle w:val="11"/>
        <w:tabs>
          <w:tab w:val="left" w:pos="1571"/>
        </w:tabs>
        <w:spacing w:line="580" w:lineRule="exact"/>
        <w:ind w:firstLine="940"/>
        <w:rPr>
          <w:rFonts w:ascii="仿宋_GB2312" w:hAnsi="仿宋_GB2312" w:eastAsia="仿宋_GB2312" w:cs="仿宋_GB2312"/>
          <w:sz w:val="32"/>
          <w:szCs w:val="32"/>
        </w:rPr>
      </w:pPr>
      <w:bookmarkStart w:id="6" w:name="bookmark9"/>
      <w:r>
        <w:rPr>
          <w:rFonts w:hint="eastAsia" w:ascii="仿宋_GB2312" w:hAnsi="仿宋_GB2312" w:eastAsia="仿宋_GB2312" w:cs="仿宋_GB2312"/>
          <w:sz w:val="32"/>
          <w:szCs w:val="32"/>
        </w:rPr>
        <w:t>五</w:t>
      </w:r>
      <w:bookmarkEnd w:id="6"/>
      <w:r>
        <w:rPr>
          <w:rFonts w:hint="eastAsia" w:ascii="仿宋_GB2312" w:hAnsi="仿宋_GB2312" w:eastAsia="仿宋_GB2312" w:cs="仿宋_GB2312"/>
          <w:sz w:val="32"/>
          <w:szCs w:val="32"/>
        </w:rPr>
        <w:t>、一般公共预算支出</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表</w:t>
      </w:r>
    </w:p>
    <w:p>
      <w:pPr>
        <w:pStyle w:val="11"/>
        <w:tabs>
          <w:tab w:val="left" w:pos="1571"/>
        </w:tabs>
        <w:spacing w:line="580" w:lineRule="exact"/>
        <w:ind w:firstLine="940"/>
        <w:rPr>
          <w:rFonts w:ascii="仿宋_GB2312" w:hAnsi="仿宋_GB2312" w:eastAsia="仿宋_GB2312" w:cs="仿宋_GB2312"/>
          <w:sz w:val="32"/>
          <w:szCs w:val="32"/>
        </w:rPr>
      </w:pPr>
      <w:bookmarkStart w:id="7" w:name="bookmark10"/>
      <w:r>
        <w:rPr>
          <w:rFonts w:hint="eastAsia" w:ascii="仿宋_GB2312" w:hAnsi="仿宋_GB2312" w:eastAsia="仿宋_GB2312" w:cs="仿宋_GB2312"/>
          <w:sz w:val="32"/>
          <w:szCs w:val="32"/>
        </w:rPr>
        <w:t>六</w:t>
      </w:r>
      <w:bookmarkEnd w:id="7"/>
      <w:r>
        <w:rPr>
          <w:rFonts w:hint="eastAsia" w:ascii="仿宋_GB2312" w:hAnsi="仿宋_GB2312" w:eastAsia="仿宋_GB2312" w:cs="仿宋_GB2312"/>
          <w:sz w:val="32"/>
          <w:szCs w:val="32"/>
        </w:rPr>
        <w:t>、一般公共预算基本支出表</w:t>
      </w:r>
    </w:p>
    <w:p>
      <w:pPr>
        <w:pStyle w:val="11"/>
        <w:tabs>
          <w:tab w:val="left" w:pos="1571"/>
        </w:tabs>
        <w:spacing w:line="580" w:lineRule="exact"/>
        <w:ind w:firstLine="9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、一般公共预算</w:t>
      </w:r>
      <w:r>
        <w:rPr>
          <w:rFonts w:hint="eastAsia" w:ascii="仿宋_GB2312" w:hAnsi="仿宋_GB2312" w:eastAsia="仿宋_GB2312" w:cs="仿宋_GB2312"/>
          <w:sz w:val="32"/>
          <w:szCs w:val="32"/>
          <w:lang w:val="zh-CN" w:eastAsia="zh-CN" w:bidi="zh-CN"/>
        </w:rPr>
        <w:t>“三</w:t>
      </w:r>
      <w:r>
        <w:rPr>
          <w:rFonts w:hint="eastAsia" w:ascii="仿宋_GB2312" w:hAnsi="仿宋_GB2312" w:eastAsia="仿宋_GB2312" w:cs="仿宋_GB2312"/>
          <w:sz w:val="32"/>
          <w:szCs w:val="32"/>
        </w:rPr>
        <w:t>公”经费</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表</w:t>
      </w:r>
    </w:p>
    <w:p>
      <w:pPr>
        <w:pStyle w:val="11"/>
        <w:tabs>
          <w:tab w:val="left" w:pos="1571"/>
        </w:tabs>
        <w:spacing w:line="580" w:lineRule="exact"/>
        <w:ind w:firstLine="9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、政府性基金</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预算表</w:t>
      </w:r>
    </w:p>
    <w:p>
      <w:pPr>
        <w:pStyle w:val="11"/>
        <w:spacing w:line="580" w:lineRule="exact"/>
        <w:ind w:firstLine="9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、部门整体绩效目标表</w:t>
      </w:r>
    </w:p>
    <w:p>
      <w:pPr>
        <w:pStyle w:val="11"/>
        <w:spacing w:line="580" w:lineRule="exact"/>
        <w:ind w:firstLine="940"/>
        <w:rPr>
          <w:rFonts w:ascii="黑体" w:hAnsi="黑体" w:eastAsia="黑体" w:cs="黑体"/>
          <w:sz w:val="32"/>
          <w:szCs w:val="32"/>
        </w:rPr>
      </w:pPr>
      <w:r>
        <w:rPr>
          <w:rFonts w:hint="eastAsia" w:ascii="仿宋_GB2312" w:hAnsi="仿宋_GB2312" w:eastAsia="仿宋_GB2312" w:cs="仿宋_GB2312"/>
          <w:sz w:val="32"/>
          <w:szCs w:val="32"/>
        </w:rPr>
        <w:t>十、部门预算项目绩效目标表</w:t>
      </w:r>
    </w:p>
    <w:p>
      <w:pPr>
        <w:keepNext w:val="0"/>
        <w:keepLines w:val="0"/>
        <w:pageBreakBefore w:val="0"/>
        <w:widowControl/>
        <w:wordWrap/>
        <w:topLinePunct w:val="0"/>
        <w:bidi w:val="0"/>
        <w:spacing w:before="191" w:line="580" w:lineRule="exact"/>
        <w:jc w:val="center"/>
        <w:rPr>
          <w:rFonts w:ascii="黑体" w:hAnsi="黑体" w:eastAsia="黑体" w:cs="黑体"/>
          <w:spacing w:val="8"/>
          <w:sz w:val="31"/>
          <w:szCs w:val="31"/>
        </w:rPr>
      </w:pPr>
    </w:p>
    <w:p>
      <w:pPr>
        <w:keepNext w:val="0"/>
        <w:keepLines w:val="0"/>
        <w:pageBreakBefore w:val="0"/>
        <w:widowControl/>
        <w:wordWrap/>
        <w:topLinePunct w:val="0"/>
        <w:bidi w:val="0"/>
        <w:spacing w:before="191" w:line="580" w:lineRule="exact"/>
        <w:jc w:val="center"/>
        <w:rPr>
          <w:rFonts w:ascii="黑体" w:hAnsi="黑体" w:eastAsia="黑体" w:cs="黑体"/>
          <w:spacing w:val="8"/>
          <w:sz w:val="31"/>
          <w:szCs w:val="31"/>
        </w:rPr>
      </w:pPr>
    </w:p>
    <w:p>
      <w:pPr>
        <w:keepNext w:val="0"/>
        <w:keepLines w:val="0"/>
        <w:pageBreakBefore w:val="0"/>
        <w:widowControl/>
        <w:wordWrap/>
        <w:topLinePunct w:val="0"/>
        <w:bidi w:val="0"/>
        <w:spacing w:before="191" w:line="580" w:lineRule="exact"/>
        <w:jc w:val="center"/>
        <w:rPr>
          <w:rFonts w:ascii="黑体" w:hAnsi="黑体" w:eastAsia="黑体" w:cs="黑体"/>
          <w:spacing w:val="8"/>
          <w:sz w:val="31"/>
          <w:szCs w:val="31"/>
        </w:rPr>
      </w:pPr>
    </w:p>
    <w:p>
      <w:pPr>
        <w:keepNext w:val="0"/>
        <w:keepLines w:val="0"/>
        <w:pageBreakBefore w:val="0"/>
        <w:widowControl/>
        <w:wordWrap/>
        <w:topLinePunct w:val="0"/>
        <w:bidi w:val="0"/>
        <w:spacing w:before="191" w:line="580" w:lineRule="exact"/>
        <w:jc w:val="center"/>
        <w:rPr>
          <w:rFonts w:ascii="黑体" w:hAnsi="黑体" w:eastAsia="黑体" w:cs="黑体"/>
          <w:spacing w:val="8"/>
          <w:sz w:val="31"/>
          <w:szCs w:val="31"/>
        </w:rPr>
      </w:pPr>
    </w:p>
    <w:p>
      <w:pPr>
        <w:keepNext w:val="0"/>
        <w:keepLines w:val="0"/>
        <w:pageBreakBefore w:val="0"/>
        <w:widowControl/>
        <w:wordWrap/>
        <w:topLinePunct w:val="0"/>
        <w:bidi w:val="0"/>
        <w:spacing w:before="191" w:line="580" w:lineRule="exact"/>
        <w:jc w:val="center"/>
        <w:rPr>
          <w:rFonts w:ascii="黑体" w:hAnsi="黑体" w:eastAsia="黑体" w:cs="黑体"/>
          <w:spacing w:val="8"/>
          <w:sz w:val="31"/>
          <w:szCs w:val="31"/>
        </w:rPr>
      </w:pPr>
    </w:p>
    <w:p>
      <w:pPr>
        <w:keepNext w:val="0"/>
        <w:keepLines w:val="0"/>
        <w:pageBreakBefore w:val="0"/>
        <w:widowControl/>
        <w:wordWrap/>
        <w:topLinePunct w:val="0"/>
        <w:bidi w:val="0"/>
        <w:spacing w:before="191" w:line="580" w:lineRule="exact"/>
        <w:jc w:val="center"/>
        <w:rPr>
          <w:rFonts w:ascii="黑体" w:hAnsi="黑体" w:eastAsia="黑体" w:cs="黑体"/>
          <w:spacing w:val="8"/>
          <w:sz w:val="31"/>
          <w:szCs w:val="31"/>
        </w:rPr>
      </w:pPr>
    </w:p>
    <w:p>
      <w:pPr>
        <w:keepNext w:val="0"/>
        <w:keepLines w:val="0"/>
        <w:pageBreakBefore w:val="0"/>
        <w:widowControl/>
        <w:wordWrap/>
        <w:topLinePunct w:val="0"/>
        <w:bidi w:val="0"/>
        <w:spacing w:before="191" w:line="580" w:lineRule="exact"/>
        <w:jc w:val="center"/>
        <w:rPr>
          <w:rFonts w:ascii="黑体" w:hAnsi="黑体" w:eastAsia="黑体" w:cs="黑体"/>
          <w:spacing w:val="8"/>
          <w:sz w:val="31"/>
          <w:szCs w:val="31"/>
        </w:rPr>
      </w:pPr>
    </w:p>
    <w:p>
      <w:pPr>
        <w:keepNext w:val="0"/>
        <w:keepLines w:val="0"/>
        <w:pageBreakBefore w:val="0"/>
        <w:widowControl/>
        <w:wordWrap/>
        <w:topLinePunct w:val="0"/>
        <w:bidi w:val="0"/>
        <w:spacing w:before="191" w:line="580" w:lineRule="exact"/>
        <w:jc w:val="center"/>
        <w:rPr>
          <w:rFonts w:ascii="黑体" w:hAnsi="黑体" w:eastAsia="黑体" w:cs="黑体"/>
          <w:spacing w:val="8"/>
          <w:sz w:val="31"/>
          <w:szCs w:val="31"/>
        </w:rPr>
      </w:pPr>
    </w:p>
    <w:p>
      <w:pPr>
        <w:keepNext w:val="0"/>
        <w:keepLines w:val="0"/>
        <w:pageBreakBefore w:val="0"/>
        <w:widowControl/>
        <w:wordWrap/>
        <w:topLinePunct w:val="0"/>
        <w:bidi w:val="0"/>
        <w:spacing w:before="191" w:line="580" w:lineRule="exact"/>
        <w:jc w:val="center"/>
        <w:rPr>
          <w:rFonts w:ascii="黑体" w:hAnsi="黑体" w:eastAsia="黑体" w:cs="黑体"/>
          <w:spacing w:val="8"/>
          <w:sz w:val="31"/>
          <w:szCs w:val="31"/>
        </w:rPr>
      </w:pPr>
    </w:p>
    <w:p>
      <w:pPr>
        <w:keepNext w:val="0"/>
        <w:keepLines w:val="0"/>
        <w:pageBreakBefore w:val="0"/>
        <w:widowControl/>
        <w:wordWrap/>
        <w:topLinePunct w:val="0"/>
        <w:bidi w:val="0"/>
        <w:spacing w:before="191" w:line="580" w:lineRule="exact"/>
        <w:jc w:val="center"/>
        <w:rPr>
          <w:rFonts w:ascii="黑体" w:hAnsi="黑体" w:eastAsia="黑体" w:cs="黑体"/>
          <w:spacing w:val="8"/>
          <w:sz w:val="31"/>
          <w:szCs w:val="31"/>
        </w:rPr>
      </w:pPr>
    </w:p>
    <w:p>
      <w:pPr>
        <w:keepNext w:val="0"/>
        <w:keepLines w:val="0"/>
        <w:pageBreakBefore w:val="0"/>
        <w:widowControl/>
        <w:wordWrap/>
        <w:topLinePunct w:val="0"/>
        <w:bidi w:val="0"/>
        <w:spacing w:before="191" w:line="580" w:lineRule="exact"/>
        <w:jc w:val="center"/>
        <w:rPr>
          <w:rFonts w:ascii="黑体" w:hAnsi="黑体" w:eastAsia="黑体" w:cs="黑体"/>
          <w:spacing w:val="8"/>
          <w:sz w:val="31"/>
          <w:szCs w:val="31"/>
        </w:rPr>
      </w:pPr>
    </w:p>
    <w:p>
      <w:pPr>
        <w:keepNext w:val="0"/>
        <w:keepLines w:val="0"/>
        <w:pageBreakBefore w:val="0"/>
        <w:widowControl/>
        <w:wordWrap/>
        <w:topLinePunct w:val="0"/>
        <w:bidi w:val="0"/>
        <w:spacing w:before="191" w:line="580" w:lineRule="exact"/>
        <w:jc w:val="center"/>
        <w:rPr>
          <w:rFonts w:hint="eastAsia" w:ascii="黑体" w:hAnsi="黑体" w:eastAsia="黑体" w:cs="黑体"/>
          <w:sz w:val="32"/>
          <w:szCs w:val="32"/>
        </w:rPr>
      </w:pPr>
      <w:r>
        <w:rPr>
          <w:rFonts w:hint="eastAsia" w:ascii="黑体" w:hAnsi="黑体" w:eastAsia="黑体" w:cs="黑体"/>
          <w:spacing w:val="8"/>
          <w:sz w:val="32"/>
          <w:szCs w:val="32"/>
        </w:rPr>
        <w:t>第</w:t>
      </w:r>
      <w:r>
        <w:rPr>
          <w:rFonts w:hint="eastAsia" w:ascii="黑体" w:hAnsi="黑体" w:eastAsia="黑体" w:cs="黑体"/>
          <w:spacing w:val="6"/>
          <w:sz w:val="32"/>
          <w:szCs w:val="32"/>
        </w:rPr>
        <w:t>一部分</w:t>
      </w:r>
    </w:p>
    <w:p>
      <w:pPr>
        <w:keepNext w:val="0"/>
        <w:keepLines w:val="0"/>
        <w:pageBreakBefore w:val="0"/>
        <w:widowControl/>
        <w:wordWrap/>
        <w:topLinePunct w:val="0"/>
        <w:bidi w:val="0"/>
        <w:spacing w:before="219" w:line="580" w:lineRule="exact"/>
        <w:jc w:val="center"/>
        <w:outlineLvl w:val="0"/>
        <w:rPr>
          <w:rFonts w:hint="eastAsia" w:ascii="黑体" w:hAnsi="黑体" w:eastAsia="黑体" w:cs="黑体"/>
          <w:snapToGrid/>
          <w:color w:val="000000"/>
          <w:sz w:val="32"/>
          <w:szCs w:val="32"/>
          <w:lang w:val="en-US" w:eastAsia="zh-CN" w:bidi="zh-TW"/>
        </w:rPr>
      </w:pPr>
      <w:r>
        <w:rPr>
          <w:rFonts w:hint="eastAsia" w:ascii="黑体" w:hAnsi="黑体" w:eastAsia="黑体" w:cs="黑体"/>
          <w:snapToGrid/>
          <w:color w:val="000000"/>
          <w:sz w:val="32"/>
          <w:szCs w:val="32"/>
          <w:lang w:val="en-US" w:eastAsia="zh-CN" w:bidi="zh-TW"/>
        </w:rPr>
        <w:t>鹤壁市鹤山区工业和信息化局概况</w:t>
      </w:r>
    </w:p>
    <w:p>
      <w:pPr>
        <w:keepNext w:val="0"/>
        <w:keepLines w:val="0"/>
        <w:pageBreakBefore w:val="0"/>
        <w:widowControl/>
        <w:wordWrap/>
        <w:topLinePunct w:val="0"/>
        <w:bidi w:val="0"/>
        <w:spacing w:line="580" w:lineRule="exact"/>
        <w:rPr>
          <w:rFonts w:hint="default" w:ascii="Times New Roman" w:hAnsi="Times New Roman" w:eastAsia="仿宋_GB2312" w:cs="Times New Roman"/>
          <w:sz w:val="32"/>
          <w:szCs w:val="32"/>
        </w:rPr>
      </w:pPr>
    </w:p>
    <w:p>
      <w:pPr>
        <w:keepNext w:val="0"/>
        <w:keepLines w:val="0"/>
        <w:pageBreakBefore w:val="0"/>
        <w:widowControl/>
        <w:wordWrap/>
        <w:topLinePunct w:val="0"/>
        <w:bidi w:val="0"/>
        <w:spacing w:before="101" w:line="580" w:lineRule="exact"/>
        <w:ind w:left="648"/>
        <w:outlineLvl w:val="0"/>
        <w:rPr>
          <w:rFonts w:hint="eastAsia" w:ascii="黑体" w:hAnsi="黑体" w:eastAsia="黑体" w:cs="黑体"/>
          <w:sz w:val="32"/>
          <w:szCs w:val="32"/>
        </w:rPr>
      </w:pPr>
      <w:r>
        <w:rPr>
          <w:rFonts w:hint="eastAsia" w:ascii="黑体" w:hAnsi="黑体" w:eastAsia="黑体" w:cs="黑体"/>
          <w:spacing w:val="9"/>
          <w:position w:val="4"/>
          <w:sz w:val="32"/>
          <w:szCs w:val="32"/>
        </w:rPr>
        <w:t>一、鹤壁市鹤山区工业和信息化局</w:t>
      </w:r>
      <w:r>
        <w:rPr>
          <w:rFonts w:hint="eastAsia" w:ascii="黑体" w:hAnsi="黑体" w:eastAsia="黑体" w:cs="黑体"/>
          <w:spacing w:val="9"/>
          <w:position w:val="4"/>
          <w:sz w:val="32"/>
          <w:szCs w:val="32"/>
          <w:lang w:val="en-US" w:eastAsia="zh-CN"/>
        </w:rPr>
        <w:t>机构设置及</w:t>
      </w:r>
      <w:r>
        <w:rPr>
          <w:rFonts w:hint="eastAsia" w:ascii="黑体" w:hAnsi="黑体" w:eastAsia="黑体" w:cs="黑体"/>
          <w:spacing w:val="9"/>
          <w:position w:val="4"/>
          <w:sz w:val="32"/>
          <w:szCs w:val="32"/>
        </w:rPr>
        <w:t>主要职责</w:t>
      </w:r>
    </w:p>
    <w:p>
      <w:pPr>
        <w:keepNext w:val="0"/>
        <w:keepLines w:val="0"/>
        <w:pageBreakBefore w:val="0"/>
        <w:widowControl/>
        <w:wordWrap/>
        <w:topLinePunct w:val="0"/>
        <w:bidi w:val="0"/>
        <w:spacing w:before="89" w:line="580" w:lineRule="exact"/>
        <w:ind w:left="6" w:right="83" w:firstLine="654"/>
        <w:rPr>
          <w:rFonts w:hint="eastAsia" w:ascii="楷体" w:hAnsi="楷体" w:eastAsia="楷体" w:cs="楷体"/>
          <w:spacing w:val="15"/>
          <w:sz w:val="32"/>
          <w:szCs w:val="32"/>
          <w:lang w:val="en-US" w:eastAsia="zh-CN"/>
        </w:rPr>
      </w:pPr>
      <w:r>
        <w:rPr>
          <w:rFonts w:hint="eastAsia" w:ascii="楷体" w:hAnsi="楷体" w:eastAsia="楷体" w:cs="楷体"/>
          <w:spacing w:val="15"/>
          <w:sz w:val="32"/>
          <w:szCs w:val="32"/>
          <w:lang w:val="en-US" w:eastAsia="zh-CN"/>
        </w:rPr>
        <w:t>（一）机构设置情况</w:t>
      </w:r>
    </w:p>
    <w:p>
      <w:pPr>
        <w:keepNext w:val="0"/>
        <w:keepLines w:val="0"/>
        <w:pageBreakBefore w:val="0"/>
        <w:widowControl/>
        <w:wordWrap/>
        <w:topLinePunct w:val="0"/>
        <w:bidi w:val="0"/>
        <w:spacing w:before="89" w:line="580" w:lineRule="exact"/>
        <w:ind w:left="6" w:right="83" w:firstLine="654"/>
        <w:rPr>
          <w:rFonts w:hint="default" w:ascii="Times New Roman" w:hAnsi="Times New Roman" w:eastAsia="仿宋_GB2312" w:cs="Times New Roman"/>
          <w:b w:val="0"/>
          <w:bCs w:val="0"/>
          <w:spacing w:val="24"/>
          <w:sz w:val="32"/>
          <w:szCs w:val="32"/>
        </w:rPr>
      </w:pPr>
      <w:r>
        <w:rPr>
          <w:rFonts w:hint="default" w:ascii="Times New Roman" w:hAnsi="Times New Roman" w:eastAsia="仿宋_GB2312" w:cs="Times New Roman"/>
          <w:spacing w:val="24"/>
          <w:sz w:val="32"/>
          <w:szCs w:val="32"/>
          <w:lang w:val="en-US" w:eastAsia="zh-CN"/>
        </w:rPr>
        <w:t>鹤壁市</w:t>
      </w:r>
      <w:r>
        <w:rPr>
          <w:rFonts w:hint="default" w:ascii="Times New Roman" w:hAnsi="Times New Roman" w:eastAsia="仿宋_GB2312" w:cs="Times New Roman"/>
          <w:spacing w:val="24"/>
          <w:sz w:val="32"/>
          <w:szCs w:val="32"/>
        </w:rPr>
        <w:t>鹤山区工业和信息化局</w:t>
      </w:r>
      <w:r>
        <w:rPr>
          <w:rFonts w:hint="default" w:ascii="Times New Roman" w:hAnsi="Times New Roman" w:eastAsia="仿宋_GB2312" w:cs="Times New Roman"/>
          <w:spacing w:val="24"/>
          <w:sz w:val="32"/>
          <w:szCs w:val="32"/>
          <w:lang w:val="en-US" w:eastAsia="zh-CN"/>
        </w:rPr>
        <w:t>5个内设机构：</w:t>
      </w:r>
      <w:r>
        <w:rPr>
          <w:rFonts w:hint="default" w:ascii="Times New Roman" w:hAnsi="Times New Roman" w:eastAsia="仿宋_GB2312" w:cs="Times New Roman"/>
          <w:b w:val="0"/>
          <w:bCs w:val="0"/>
          <w:spacing w:val="24"/>
          <w:sz w:val="32"/>
          <w:szCs w:val="32"/>
        </w:rPr>
        <w:t>综合办公室</w:t>
      </w:r>
      <w:r>
        <w:rPr>
          <w:rFonts w:hint="default" w:ascii="Times New Roman" w:hAnsi="Times New Roman" w:eastAsia="仿宋_GB2312" w:cs="Times New Roman"/>
          <w:b w:val="0"/>
          <w:bCs w:val="0"/>
          <w:spacing w:val="24"/>
          <w:sz w:val="32"/>
          <w:szCs w:val="32"/>
          <w:lang w:eastAsia="zh-CN"/>
        </w:rPr>
        <w:t>、</w:t>
      </w:r>
      <w:r>
        <w:rPr>
          <w:rFonts w:hint="default" w:ascii="Times New Roman" w:hAnsi="Times New Roman" w:eastAsia="仿宋_GB2312" w:cs="Times New Roman"/>
          <w:b w:val="0"/>
          <w:bCs w:val="0"/>
          <w:spacing w:val="24"/>
          <w:sz w:val="32"/>
          <w:szCs w:val="32"/>
        </w:rPr>
        <w:t>中小企业服务办公室</w:t>
      </w:r>
      <w:r>
        <w:rPr>
          <w:rFonts w:hint="default" w:ascii="Times New Roman" w:hAnsi="Times New Roman" w:eastAsia="仿宋_GB2312" w:cs="Times New Roman"/>
          <w:b w:val="0"/>
          <w:bCs w:val="0"/>
          <w:spacing w:val="24"/>
          <w:sz w:val="32"/>
          <w:szCs w:val="32"/>
          <w:lang w:eastAsia="zh-CN"/>
        </w:rPr>
        <w:t>、</w:t>
      </w:r>
      <w:r>
        <w:rPr>
          <w:rFonts w:hint="default" w:ascii="Times New Roman" w:hAnsi="Times New Roman" w:eastAsia="仿宋_GB2312" w:cs="Times New Roman"/>
          <w:b w:val="0"/>
          <w:bCs w:val="0"/>
          <w:spacing w:val="24"/>
          <w:sz w:val="32"/>
          <w:szCs w:val="32"/>
        </w:rPr>
        <w:t>工业经济运行办公室</w:t>
      </w:r>
      <w:r>
        <w:rPr>
          <w:rFonts w:hint="default" w:ascii="Times New Roman" w:hAnsi="Times New Roman" w:eastAsia="仿宋_GB2312" w:cs="Times New Roman"/>
          <w:b w:val="0"/>
          <w:bCs w:val="0"/>
          <w:spacing w:val="24"/>
          <w:sz w:val="32"/>
          <w:szCs w:val="32"/>
          <w:lang w:eastAsia="zh-CN"/>
        </w:rPr>
        <w:t>、</w:t>
      </w:r>
      <w:r>
        <w:rPr>
          <w:rFonts w:hint="default" w:ascii="Times New Roman" w:hAnsi="Times New Roman" w:eastAsia="仿宋_GB2312" w:cs="Times New Roman"/>
          <w:b w:val="0"/>
          <w:bCs w:val="0"/>
          <w:spacing w:val="24"/>
          <w:sz w:val="32"/>
          <w:szCs w:val="32"/>
        </w:rPr>
        <w:t>工业转型升级办公室</w:t>
      </w:r>
      <w:r>
        <w:rPr>
          <w:rFonts w:hint="default" w:ascii="Times New Roman" w:hAnsi="Times New Roman" w:eastAsia="仿宋_GB2312" w:cs="Times New Roman"/>
          <w:b w:val="0"/>
          <w:bCs w:val="0"/>
          <w:spacing w:val="24"/>
          <w:sz w:val="32"/>
          <w:szCs w:val="32"/>
          <w:lang w:eastAsia="zh-CN"/>
        </w:rPr>
        <w:t>、</w:t>
      </w:r>
      <w:r>
        <w:rPr>
          <w:rFonts w:hint="default" w:ascii="Times New Roman" w:hAnsi="Times New Roman" w:eastAsia="仿宋_GB2312" w:cs="Times New Roman"/>
          <w:b w:val="0"/>
          <w:bCs w:val="0"/>
          <w:spacing w:val="24"/>
          <w:sz w:val="32"/>
          <w:szCs w:val="32"/>
        </w:rPr>
        <w:t>科学技术办公室。</w:t>
      </w:r>
    </w:p>
    <w:p>
      <w:pPr>
        <w:keepNext w:val="0"/>
        <w:keepLines w:val="0"/>
        <w:pageBreakBefore w:val="0"/>
        <w:widowControl/>
        <w:wordWrap/>
        <w:topLinePunct w:val="0"/>
        <w:bidi w:val="0"/>
        <w:spacing w:before="89" w:line="580" w:lineRule="exact"/>
        <w:ind w:left="6" w:right="83" w:firstLine="654"/>
        <w:rPr>
          <w:rFonts w:hint="eastAsia" w:ascii="楷体" w:hAnsi="楷体" w:eastAsia="楷体" w:cs="楷体"/>
          <w:spacing w:val="24"/>
          <w:sz w:val="32"/>
          <w:szCs w:val="32"/>
          <w:lang w:val="en-US" w:eastAsia="zh-CN"/>
        </w:rPr>
      </w:pPr>
      <w:r>
        <w:rPr>
          <w:rFonts w:hint="eastAsia" w:ascii="楷体" w:hAnsi="楷体" w:eastAsia="楷体" w:cs="楷体"/>
          <w:spacing w:val="24"/>
          <w:sz w:val="32"/>
          <w:szCs w:val="32"/>
          <w:lang w:val="en-US" w:eastAsia="zh-CN"/>
        </w:rPr>
        <w:t>（二）部门主要职责</w:t>
      </w:r>
    </w:p>
    <w:p>
      <w:pPr>
        <w:keepNext w:val="0"/>
        <w:keepLines w:val="0"/>
        <w:pageBreakBefore w:val="0"/>
        <w:widowControl/>
        <w:wordWrap/>
        <w:topLinePunct w:val="0"/>
        <w:bidi w:val="0"/>
        <w:spacing w:before="89" w:line="580" w:lineRule="exact"/>
        <w:ind w:left="6" w:right="83" w:firstLine="654"/>
        <w:rPr>
          <w:rFonts w:hint="default" w:ascii="Times New Roman" w:hAnsi="Times New Roman" w:eastAsia="仿宋_GB2312" w:cs="Times New Roman"/>
          <w:spacing w:val="24"/>
          <w:sz w:val="32"/>
          <w:szCs w:val="32"/>
        </w:rPr>
      </w:pPr>
      <w:r>
        <w:rPr>
          <w:rFonts w:hint="default" w:ascii="Times New Roman" w:hAnsi="Times New Roman" w:eastAsia="仿宋_GB2312" w:cs="Times New Roman"/>
          <w:spacing w:val="24"/>
          <w:sz w:val="32"/>
          <w:szCs w:val="32"/>
          <w:lang w:val="en-US" w:eastAsia="zh-CN"/>
        </w:rPr>
        <w:t>鹤壁市</w:t>
      </w:r>
      <w:r>
        <w:rPr>
          <w:rFonts w:hint="default" w:ascii="Times New Roman" w:hAnsi="Times New Roman" w:eastAsia="仿宋_GB2312" w:cs="Times New Roman"/>
          <w:spacing w:val="24"/>
          <w:sz w:val="32"/>
          <w:szCs w:val="32"/>
        </w:rPr>
        <w:t>鹤山区工业和信息化局贯彻落实党中央关于工业和信息化工作的方针政策和决策部署，在履行职责过程中坚持和加强党对工业和信息化工作集中统一领导。主要职责是：</w:t>
      </w:r>
    </w:p>
    <w:p>
      <w:pPr>
        <w:keepNext w:val="0"/>
        <w:keepLines w:val="0"/>
        <w:pageBreakBefore w:val="0"/>
        <w:widowControl/>
        <w:wordWrap/>
        <w:topLinePunct w:val="0"/>
        <w:bidi w:val="0"/>
        <w:spacing w:before="89" w:line="580" w:lineRule="exact"/>
        <w:ind w:left="6" w:right="83" w:firstLine="654"/>
        <w:rPr>
          <w:rFonts w:hint="default" w:ascii="Times New Roman" w:hAnsi="Times New Roman" w:eastAsia="仿宋_GB2312" w:cs="Times New Roman"/>
          <w:spacing w:val="24"/>
          <w:sz w:val="32"/>
          <w:szCs w:val="32"/>
        </w:rPr>
      </w:pPr>
      <w:r>
        <w:rPr>
          <w:rFonts w:hint="default" w:ascii="Times New Roman" w:hAnsi="Times New Roman" w:eastAsia="仿宋_GB2312" w:cs="Times New Roman"/>
          <w:spacing w:val="24"/>
          <w:sz w:val="32"/>
          <w:szCs w:val="32"/>
        </w:rPr>
        <w:t>贯彻执行国家和省市有关工业和信息化的法律、法规和方针政策，协调解决新型工业化进程中的重大问题，拟定并组织实施全区工业和信息化的发展规划以及推动传统产业技术改造相关政策，推进产业结构战略性调整和优化升级，推进信息化和工业化融合。</w:t>
      </w:r>
    </w:p>
    <w:p>
      <w:pPr>
        <w:keepNext w:val="0"/>
        <w:keepLines w:val="0"/>
        <w:pageBreakBefore w:val="0"/>
        <w:widowControl/>
        <w:wordWrap/>
        <w:topLinePunct w:val="0"/>
        <w:bidi w:val="0"/>
        <w:spacing w:before="89" w:line="580" w:lineRule="exact"/>
        <w:ind w:left="6" w:right="83" w:firstLine="654"/>
        <w:rPr>
          <w:rFonts w:hint="default" w:ascii="Times New Roman" w:hAnsi="Times New Roman" w:eastAsia="仿宋_GB2312" w:cs="Times New Roman"/>
          <w:spacing w:val="24"/>
          <w:sz w:val="32"/>
          <w:szCs w:val="32"/>
        </w:rPr>
      </w:pPr>
      <w:r>
        <w:rPr>
          <w:rFonts w:hint="default" w:ascii="Times New Roman" w:hAnsi="Times New Roman" w:eastAsia="仿宋_GB2312" w:cs="Times New Roman"/>
          <w:spacing w:val="24"/>
          <w:sz w:val="32"/>
          <w:szCs w:val="32"/>
        </w:rPr>
        <w:t>拟定并组织实施全区工业行业规划、计划和产业政策，提出优化产业布局和结构政策建议；引导和扶持工业和信息化产业发展，组织实施行业技术规范和标准，引导行业质量管理工作。</w:t>
      </w:r>
    </w:p>
    <w:p>
      <w:pPr>
        <w:keepNext w:val="0"/>
        <w:keepLines w:val="0"/>
        <w:pageBreakBefore w:val="0"/>
        <w:widowControl/>
        <w:wordWrap/>
        <w:topLinePunct w:val="0"/>
        <w:bidi w:val="0"/>
        <w:spacing w:before="89" w:line="580" w:lineRule="exact"/>
        <w:ind w:left="6" w:right="83" w:firstLine="654"/>
        <w:rPr>
          <w:rFonts w:hint="default" w:ascii="Times New Roman" w:hAnsi="Times New Roman" w:eastAsia="仿宋_GB2312" w:cs="Times New Roman"/>
          <w:spacing w:val="24"/>
          <w:sz w:val="32"/>
          <w:szCs w:val="32"/>
        </w:rPr>
      </w:pPr>
      <w:r>
        <w:rPr>
          <w:rFonts w:hint="default" w:ascii="Times New Roman" w:hAnsi="Times New Roman" w:eastAsia="仿宋_GB2312" w:cs="Times New Roman"/>
          <w:spacing w:val="24"/>
          <w:sz w:val="32"/>
          <w:szCs w:val="32"/>
        </w:rPr>
        <w:t>监测分析全区工业行业运行态势，统计并发布相关信息，进行预测预警和信息引导，协调解决行业运行发展中的有关问题并提出政策建议。按照“管行业必须管安全、管业务必须管安全、管生产经营单位必须管安全”的要求，指导全区工业和信息化行业加强安全生产和消防管理。</w:t>
      </w:r>
    </w:p>
    <w:p>
      <w:pPr>
        <w:keepNext w:val="0"/>
        <w:keepLines w:val="0"/>
        <w:pageBreakBefore w:val="0"/>
        <w:widowControl/>
        <w:wordWrap/>
        <w:topLinePunct w:val="0"/>
        <w:bidi w:val="0"/>
        <w:spacing w:before="89" w:line="580" w:lineRule="exact"/>
        <w:ind w:left="6" w:right="83" w:firstLine="654"/>
        <w:rPr>
          <w:rFonts w:hint="default" w:ascii="Times New Roman" w:hAnsi="Times New Roman" w:eastAsia="仿宋_GB2312" w:cs="Times New Roman"/>
          <w:spacing w:val="24"/>
          <w:sz w:val="32"/>
          <w:szCs w:val="32"/>
        </w:rPr>
      </w:pPr>
      <w:r>
        <w:rPr>
          <w:rFonts w:hint="default" w:ascii="Times New Roman" w:hAnsi="Times New Roman" w:eastAsia="仿宋_GB2312" w:cs="Times New Roman"/>
          <w:spacing w:val="24"/>
          <w:sz w:val="32"/>
          <w:szCs w:val="32"/>
        </w:rPr>
        <w:t>拟定并组织实施全区制造业服务化、平台化发展中长期规划和年度计划，促进制造业和生产性服务融合发展，推进产业融合、生产性服务功能区和公共服务平台建设，促进供应链管理技术推广应用。</w:t>
      </w:r>
    </w:p>
    <w:p>
      <w:pPr>
        <w:keepNext w:val="0"/>
        <w:keepLines w:val="0"/>
        <w:pageBreakBefore w:val="0"/>
        <w:widowControl/>
        <w:wordWrap/>
        <w:topLinePunct w:val="0"/>
        <w:bidi w:val="0"/>
        <w:spacing w:before="89" w:line="580" w:lineRule="exact"/>
        <w:ind w:left="6" w:right="83" w:firstLine="654"/>
        <w:rPr>
          <w:rFonts w:hint="default" w:ascii="Times New Roman" w:hAnsi="Times New Roman" w:eastAsia="仿宋_GB2312" w:cs="Times New Roman"/>
          <w:spacing w:val="24"/>
          <w:sz w:val="32"/>
          <w:szCs w:val="32"/>
        </w:rPr>
      </w:pPr>
      <w:r>
        <w:rPr>
          <w:rFonts w:hint="default" w:ascii="Times New Roman" w:hAnsi="Times New Roman" w:eastAsia="仿宋_GB2312" w:cs="Times New Roman"/>
          <w:spacing w:val="24"/>
          <w:sz w:val="32"/>
          <w:szCs w:val="32"/>
        </w:rPr>
        <w:t>负责提出全区工业和信息化固定资产投资规模和方向（含利用外资和境外投资），落实国家、省、市对口部门和本区用于工业和信息化财政性建设资金安排的意见。</w:t>
      </w:r>
    </w:p>
    <w:p>
      <w:pPr>
        <w:keepNext w:val="0"/>
        <w:keepLines w:val="0"/>
        <w:pageBreakBefore w:val="0"/>
        <w:widowControl/>
        <w:wordWrap/>
        <w:topLinePunct w:val="0"/>
        <w:bidi w:val="0"/>
        <w:spacing w:before="89" w:line="580" w:lineRule="exact"/>
        <w:ind w:left="6" w:right="83" w:firstLine="654"/>
        <w:rPr>
          <w:rFonts w:hint="default" w:ascii="Times New Roman" w:hAnsi="Times New Roman" w:eastAsia="仿宋_GB2312" w:cs="Times New Roman"/>
          <w:spacing w:val="24"/>
          <w:sz w:val="32"/>
          <w:szCs w:val="32"/>
        </w:rPr>
      </w:pPr>
      <w:r>
        <w:rPr>
          <w:rFonts w:hint="default" w:ascii="Times New Roman" w:hAnsi="Times New Roman" w:eastAsia="仿宋_GB2312" w:cs="Times New Roman"/>
          <w:spacing w:val="24"/>
          <w:sz w:val="32"/>
          <w:szCs w:val="32"/>
        </w:rPr>
        <w:t>组织实施国家高技术产业中涉及新材料、信息产业等的规划、政策和标准，指导行业技术创新和技术进步，以先进实用技术改造提升传统产业，推进相关科研成果产业化，推动全区软件业、信息服务业和新兴产业发展。</w:t>
      </w:r>
    </w:p>
    <w:p>
      <w:pPr>
        <w:keepNext w:val="0"/>
        <w:keepLines w:val="0"/>
        <w:pageBreakBefore w:val="0"/>
        <w:widowControl/>
        <w:wordWrap/>
        <w:topLinePunct w:val="0"/>
        <w:bidi w:val="0"/>
        <w:spacing w:before="89" w:line="580" w:lineRule="exact"/>
        <w:ind w:left="6" w:right="83" w:firstLine="654"/>
        <w:rPr>
          <w:rFonts w:hint="default" w:ascii="Times New Roman" w:hAnsi="Times New Roman" w:eastAsia="仿宋_GB2312" w:cs="Times New Roman"/>
          <w:spacing w:val="24"/>
          <w:sz w:val="32"/>
          <w:szCs w:val="32"/>
        </w:rPr>
      </w:pPr>
      <w:r>
        <w:rPr>
          <w:rFonts w:hint="default" w:ascii="Times New Roman" w:hAnsi="Times New Roman" w:eastAsia="仿宋_GB2312" w:cs="Times New Roman"/>
          <w:spacing w:val="24"/>
          <w:sz w:val="32"/>
          <w:szCs w:val="32"/>
        </w:rPr>
        <w:t>拟定并组织实施全区工业和信息化的能源节约和资源综合利用、循环经济、绿色化改造促进政策，参与拟定能源节约和资源综合利用、循环经济、绿色化改造促进政策，组织协调相关重大示范工程建设和新产品、新技术、新设备、新材料推广应用。</w:t>
      </w:r>
    </w:p>
    <w:p>
      <w:pPr>
        <w:keepNext w:val="0"/>
        <w:keepLines w:val="0"/>
        <w:pageBreakBefore w:val="0"/>
        <w:widowControl/>
        <w:wordWrap/>
        <w:topLinePunct w:val="0"/>
        <w:bidi w:val="0"/>
        <w:spacing w:before="89" w:line="580" w:lineRule="exact"/>
        <w:ind w:left="6" w:right="83" w:firstLine="654"/>
        <w:rPr>
          <w:rFonts w:hint="default" w:ascii="Times New Roman" w:hAnsi="Times New Roman" w:eastAsia="仿宋_GB2312" w:cs="Times New Roman"/>
          <w:spacing w:val="24"/>
          <w:sz w:val="31"/>
          <w:szCs w:val="31"/>
        </w:rPr>
      </w:pPr>
      <w:r>
        <w:rPr>
          <w:rFonts w:hint="default" w:ascii="Times New Roman" w:hAnsi="Times New Roman" w:eastAsia="仿宋_GB2312" w:cs="Times New Roman"/>
          <w:spacing w:val="24"/>
          <w:sz w:val="32"/>
          <w:szCs w:val="32"/>
        </w:rPr>
        <w:t>负责全区振兴装备制造业的组织协调工作，组织</w:t>
      </w:r>
      <w:r>
        <w:rPr>
          <w:rFonts w:hint="default" w:ascii="Times New Roman" w:hAnsi="Times New Roman" w:eastAsia="仿宋_GB2312" w:cs="Times New Roman"/>
          <w:spacing w:val="24"/>
          <w:sz w:val="31"/>
          <w:szCs w:val="31"/>
        </w:rPr>
        <w:t>拟定重大技术装备发展和自主创新的规划、政策，推进重大技术装备国产化，指导引进重大技术装备的消化创新。</w:t>
      </w:r>
    </w:p>
    <w:p>
      <w:pPr>
        <w:keepNext w:val="0"/>
        <w:keepLines w:val="0"/>
        <w:pageBreakBefore w:val="0"/>
        <w:widowControl/>
        <w:wordWrap/>
        <w:topLinePunct w:val="0"/>
        <w:bidi w:val="0"/>
        <w:spacing w:before="89" w:line="580" w:lineRule="exact"/>
        <w:ind w:left="6" w:right="83" w:firstLine="654"/>
        <w:rPr>
          <w:rFonts w:hint="default" w:ascii="Times New Roman" w:hAnsi="Times New Roman" w:eastAsia="仿宋_GB2312" w:cs="Times New Roman"/>
          <w:spacing w:val="24"/>
          <w:sz w:val="31"/>
          <w:szCs w:val="31"/>
        </w:rPr>
      </w:pPr>
      <w:r>
        <w:rPr>
          <w:rFonts w:hint="default" w:ascii="Times New Roman" w:hAnsi="Times New Roman" w:eastAsia="仿宋_GB2312" w:cs="Times New Roman"/>
          <w:spacing w:val="24"/>
          <w:sz w:val="31"/>
          <w:szCs w:val="31"/>
        </w:rPr>
        <w:t>负责全区中小企业、民营经济发展的宏观指导，拟定并组织实施中小企业发展中长期规划；负责推动建立完善中小企业服务体系，协调解决重大问题；会同有关部门拟定促进中小企业发展和非公有制经济发展的相关政策、措施并监督检查执行情况。</w:t>
      </w:r>
    </w:p>
    <w:p>
      <w:pPr>
        <w:keepNext w:val="0"/>
        <w:keepLines w:val="0"/>
        <w:pageBreakBefore w:val="0"/>
        <w:widowControl/>
        <w:wordWrap/>
        <w:topLinePunct w:val="0"/>
        <w:bidi w:val="0"/>
        <w:spacing w:before="89" w:line="580" w:lineRule="exact"/>
        <w:ind w:left="6" w:right="83" w:firstLine="654"/>
        <w:rPr>
          <w:rFonts w:hint="default" w:ascii="Times New Roman" w:hAnsi="Times New Roman" w:eastAsia="仿宋_GB2312" w:cs="Times New Roman"/>
          <w:spacing w:val="24"/>
          <w:sz w:val="31"/>
          <w:szCs w:val="31"/>
        </w:rPr>
      </w:pPr>
      <w:r>
        <w:rPr>
          <w:rFonts w:hint="default" w:ascii="Times New Roman" w:hAnsi="Times New Roman" w:eastAsia="仿宋_GB2312" w:cs="Times New Roman"/>
          <w:spacing w:val="24"/>
          <w:sz w:val="31"/>
          <w:szCs w:val="31"/>
        </w:rPr>
        <w:t>统筹推进全区工业领域信息化工作，贯彻落实相关政策并协调工业领域信息化建设中的重大问题；指导协调工业电子商务平台建设，推动跨行业等互联互通和重要信息资源的开发利用、共享；推进物联网、云计算等基于信息技术的新兴业态发展。</w:t>
      </w:r>
    </w:p>
    <w:p>
      <w:pPr>
        <w:keepNext w:val="0"/>
        <w:keepLines w:val="0"/>
        <w:pageBreakBefore w:val="0"/>
        <w:widowControl/>
        <w:wordWrap/>
        <w:topLinePunct w:val="0"/>
        <w:bidi w:val="0"/>
        <w:spacing w:before="89" w:line="580" w:lineRule="exact"/>
        <w:ind w:left="6" w:right="83" w:firstLine="654"/>
        <w:rPr>
          <w:rFonts w:hint="default" w:ascii="Times New Roman" w:hAnsi="Times New Roman" w:eastAsia="仿宋_GB2312" w:cs="Times New Roman"/>
          <w:spacing w:val="15"/>
          <w:sz w:val="31"/>
          <w:szCs w:val="31"/>
        </w:rPr>
      </w:pPr>
      <w:r>
        <w:rPr>
          <w:rFonts w:hint="default" w:ascii="Times New Roman" w:hAnsi="Times New Roman" w:eastAsia="仿宋_GB2312" w:cs="Times New Roman"/>
          <w:spacing w:val="24"/>
          <w:sz w:val="31"/>
          <w:szCs w:val="31"/>
        </w:rPr>
        <w:t>承担工</w:t>
      </w:r>
      <w:r>
        <w:rPr>
          <w:rFonts w:hint="default" w:ascii="Times New Roman" w:hAnsi="Times New Roman" w:eastAsia="仿宋_GB2312" w:cs="Times New Roman"/>
          <w:spacing w:val="15"/>
          <w:sz w:val="31"/>
          <w:szCs w:val="31"/>
        </w:rPr>
        <w:t>业领域相关信息安全管理责任，负责协调维护全区工业领域网络安全和网络安全保障体系建设，指导监督重点行业的关键信息基础设施和基础网络的相关安全保障工作。</w:t>
      </w:r>
    </w:p>
    <w:p>
      <w:pPr>
        <w:keepNext w:val="0"/>
        <w:keepLines w:val="0"/>
        <w:pageBreakBefore w:val="0"/>
        <w:widowControl/>
        <w:wordWrap/>
        <w:topLinePunct w:val="0"/>
        <w:bidi w:val="0"/>
        <w:spacing w:before="89" w:line="580" w:lineRule="exact"/>
        <w:ind w:left="6" w:right="83" w:firstLine="654"/>
        <w:rPr>
          <w:rFonts w:hint="default" w:ascii="Times New Roman" w:hAnsi="Times New Roman" w:eastAsia="仿宋_GB2312" w:cs="Times New Roman"/>
          <w:spacing w:val="15"/>
          <w:sz w:val="31"/>
          <w:szCs w:val="31"/>
        </w:rPr>
      </w:pPr>
      <w:r>
        <w:rPr>
          <w:rFonts w:hint="default" w:ascii="Times New Roman" w:hAnsi="Times New Roman" w:eastAsia="仿宋_GB2312" w:cs="Times New Roman"/>
          <w:spacing w:val="15"/>
          <w:sz w:val="31"/>
          <w:szCs w:val="31"/>
        </w:rPr>
        <w:t>负责全区工业和信息化领域对外交流合作事务，研究拟定支持政策措施；指导各地开展相关产业交流合作工作，督促交流合作签约项目落实情况；拟定并组织实施全区制造业对外合作年度行动计划，编制发布我区工业和信息化领域产业合作指南。研究协调产业转移示范区发展中的重大问题，提出政策建议。</w:t>
      </w:r>
    </w:p>
    <w:p>
      <w:pPr>
        <w:keepNext w:val="0"/>
        <w:keepLines w:val="0"/>
        <w:pageBreakBefore w:val="0"/>
        <w:widowControl/>
        <w:wordWrap/>
        <w:topLinePunct w:val="0"/>
        <w:bidi w:val="0"/>
        <w:spacing w:before="89" w:line="580" w:lineRule="exact"/>
        <w:ind w:left="6" w:right="83" w:firstLine="654"/>
        <w:rPr>
          <w:rFonts w:hint="default" w:ascii="Times New Roman" w:hAnsi="Times New Roman" w:eastAsia="仿宋_GB2312" w:cs="Times New Roman"/>
          <w:spacing w:val="15"/>
          <w:sz w:val="31"/>
          <w:szCs w:val="31"/>
        </w:rPr>
      </w:pPr>
      <w:r>
        <w:rPr>
          <w:rFonts w:hint="default" w:ascii="Times New Roman" w:hAnsi="Times New Roman" w:eastAsia="仿宋_GB2312" w:cs="Times New Roman"/>
          <w:spacing w:val="15"/>
          <w:sz w:val="31"/>
          <w:szCs w:val="31"/>
        </w:rPr>
        <w:t>负责拟定全区军民融合发展规划，贯彻落实军民融合发展地方性法规、政策制度及标准规范等；统筹协调相关部门和乡镇（街道、园区）推动科技、人才、重大项目、社会服务等军民融合发展；负责全区国防科技行业管理工作；负责民用爆破器材行业监督管理工作。</w:t>
      </w:r>
    </w:p>
    <w:p>
      <w:pPr>
        <w:keepNext w:val="0"/>
        <w:keepLines w:val="0"/>
        <w:pageBreakBefore w:val="0"/>
        <w:widowControl/>
        <w:wordWrap/>
        <w:topLinePunct w:val="0"/>
        <w:bidi w:val="0"/>
        <w:spacing w:before="89" w:line="580" w:lineRule="exact"/>
        <w:ind w:right="83" w:firstLine="680" w:firstLineChars="200"/>
        <w:rPr>
          <w:rFonts w:hint="default" w:ascii="Times New Roman" w:hAnsi="Times New Roman" w:eastAsia="仿宋_GB2312" w:cs="Times New Roman"/>
          <w:spacing w:val="15"/>
          <w:sz w:val="31"/>
          <w:szCs w:val="31"/>
        </w:rPr>
      </w:pPr>
      <w:r>
        <w:rPr>
          <w:rFonts w:hint="default" w:ascii="Times New Roman" w:hAnsi="Times New Roman" w:eastAsia="仿宋_GB2312" w:cs="Times New Roman"/>
          <w:spacing w:val="15"/>
          <w:sz w:val="31"/>
          <w:szCs w:val="31"/>
        </w:rPr>
        <w:t>贯彻落实国家煤炭行业法律、法规和有关政策，负责全区煤炭经营监督管理。</w:t>
      </w:r>
    </w:p>
    <w:p>
      <w:pPr>
        <w:keepNext w:val="0"/>
        <w:keepLines w:val="0"/>
        <w:pageBreakBefore w:val="0"/>
        <w:widowControl/>
        <w:wordWrap/>
        <w:topLinePunct w:val="0"/>
        <w:bidi w:val="0"/>
        <w:spacing w:before="89" w:line="580" w:lineRule="exact"/>
        <w:ind w:left="6" w:right="83" w:firstLine="654"/>
        <w:rPr>
          <w:rFonts w:hint="default" w:ascii="Times New Roman" w:hAnsi="Times New Roman" w:eastAsia="仿宋_GB2312" w:cs="Times New Roman"/>
          <w:spacing w:val="15"/>
          <w:sz w:val="31"/>
          <w:szCs w:val="31"/>
        </w:rPr>
      </w:pPr>
      <w:r>
        <w:rPr>
          <w:rFonts w:hint="default" w:ascii="Times New Roman" w:hAnsi="Times New Roman" w:eastAsia="仿宋_GB2312" w:cs="Times New Roman"/>
          <w:spacing w:val="15"/>
          <w:sz w:val="31"/>
          <w:szCs w:val="31"/>
        </w:rPr>
        <w:t>贯彻执行国家科技工作法律、法规和方针政策，建立统一的科技管理信息系统和科研项目奖金协调、评估、监管机制，统筹推进自主创新体系建设和科技体制改革，负责科技监督评价体系建设和相关科技评估管理，组织拟定高新技术发展及产业化、科技促进农业农村和社会发展的规划、政策和措施；统筹区域科技创新体系建设，负责对外科技合作与交流工作，牵头全区技术转移体系建设，会同有关部门拟定全区科技人才队伍建设规划和政策措施，组织实施相关科技人才计划。</w:t>
      </w:r>
    </w:p>
    <w:p>
      <w:pPr>
        <w:keepNext w:val="0"/>
        <w:keepLines w:val="0"/>
        <w:pageBreakBefore w:val="0"/>
        <w:widowControl/>
        <w:wordWrap/>
        <w:topLinePunct w:val="0"/>
        <w:bidi w:val="0"/>
        <w:spacing w:before="89" w:line="580" w:lineRule="exact"/>
        <w:ind w:left="6" w:right="83" w:firstLine="654"/>
        <w:rPr>
          <w:rFonts w:hint="default" w:ascii="Times New Roman" w:hAnsi="Times New Roman" w:eastAsia="仿宋_GB2312" w:cs="Times New Roman"/>
          <w:spacing w:val="15"/>
          <w:sz w:val="31"/>
          <w:szCs w:val="31"/>
        </w:rPr>
      </w:pPr>
      <w:r>
        <w:rPr>
          <w:rFonts w:hint="default" w:ascii="Times New Roman" w:hAnsi="Times New Roman" w:eastAsia="仿宋_GB2312" w:cs="Times New Roman"/>
          <w:spacing w:val="15"/>
          <w:sz w:val="31"/>
          <w:szCs w:val="31"/>
        </w:rPr>
        <w:t>与区发展和改革委员会相关职责分工。区发展和改革委员会承担编制煤炭、煤炭清洁利用等能源发展规划、计划和拟定相关政策等职责，涉及煤炭的部分应征求区工业和信息化局的意见；区工业和信息化局在相关能源发展规划内制定煤炭工业发展专项规划。区工业和信息化局统一负责煤炭工业管理职责；区发展和改革委员会按规定权限审批、核准或上报市投资主管部门、能源行业主管部门审批、核准煤矿新建、改建、扩建项目，需征求区工业和信息化局意见，区工业和信息化局负责提出工业审核意见。</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68" w:firstLineChars="200"/>
        <w:textAlignment w:val="auto"/>
        <w:rPr>
          <w:rFonts w:hint="default" w:ascii="Times New Roman" w:hAnsi="Times New Roman" w:eastAsia="仿宋_GB2312" w:cs="Times New Roman"/>
          <w:snapToGrid/>
          <w:spacing w:val="7"/>
          <w:sz w:val="32"/>
          <w:szCs w:val="32"/>
          <w:lang w:eastAsia="en-US" w:bidi="en-US"/>
        </w:rPr>
      </w:pPr>
      <w:r>
        <w:rPr>
          <w:rFonts w:hint="default" w:ascii="Times New Roman" w:hAnsi="Times New Roman" w:eastAsia="仿宋_GB2312" w:cs="Times New Roman"/>
          <w:snapToGrid/>
          <w:spacing w:val="7"/>
          <w:sz w:val="32"/>
          <w:szCs w:val="32"/>
          <w:lang w:eastAsia="en-US" w:bidi="en-US"/>
        </w:rPr>
        <w:t>完成区委、区政府交办的其他任务。</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eastAsia" w:ascii="黑体" w:hAnsi="黑体" w:eastAsia="黑体" w:cs="黑体"/>
          <w:snapToGrid/>
          <w:spacing w:val="7"/>
          <w:sz w:val="32"/>
          <w:szCs w:val="32"/>
          <w:lang w:eastAsia="en-US" w:bidi="en-US"/>
        </w:rPr>
      </w:pPr>
      <w:r>
        <w:rPr>
          <w:rFonts w:hint="eastAsia" w:ascii="黑体" w:hAnsi="黑体" w:eastAsia="黑体" w:cs="黑体"/>
          <w:snapToGrid/>
          <w:color w:val="000000"/>
          <w:sz w:val="32"/>
          <w:szCs w:val="32"/>
          <w:lang w:val="zh-TW" w:eastAsia="en-US" w:bidi="zh-TW"/>
        </w:rPr>
        <w:t>二、</w:t>
      </w:r>
      <w:r>
        <w:rPr>
          <w:rFonts w:hint="eastAsia" w:ascii="黑体" w:hAnsi="黑体" w:eastAsia="黑体" w:cs="黑体"/>
          <w:snapToGrid/>
          <w:color w:val="000000"/>
          <w:sz w:val="32"/>
          <w:szCs w:val="32"/>
          <w:lang w:val="en-US" w:eastAsia="zh-CN" w:bidi="zh-TW"/>
        </w:rPr>
        <w:t>鹤壁市</w:t>
      </w:r>
      <w:r>
        <w:rPr>
          <w:rFonts w:hint="eastAsia" w:ascii="黑体" w:hAnsi="黑体" w:eastAsia="黑体" w:cs="黑体"/>
          <w:snapToGrid/>
          <w:color w:val="000000"/>
          <w:sz w:val="32"/>
          <w:szCs w:val="32"/>
          <w:lang w:val="zh-TW" w:eastAsia="en-US" w:bidi="zh-TW"/>
        </w:rPr>
        <w:t>鹤山区工业和信息化局预算单位构成情况</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napToGrid/>
          <w:sz w:val="32"/>
          <w:szCs w:val="32"/>
          <w:lang w:eastAsia="zh-CN" w:bidi="en-US"/>
        </w:rPr>
        <w:t>鹤壁市</w:t>
      </w:r>
      <w:r>
        <w:rPr>
          <w:rFonts w:hint="default" w:ascii="Times New Roman" w:hAnsi="Times New Roman" w:eastAsia="仿宋_GB2312" w:cs="Times New Roman"/>
          <w:snapToGrid/>
          <w:sz w:val="32"/>
          <w:szCs w:val="32"/>
          <w:lang w:val="en-US" w:eastAsia="zh-CN" w:bidi="en-US"/>
        </w:rPr>
        <w:t>鹤山区工业和信息化局</w:t>
      </w:r>
      <w:r>
        <w:rPr>
          <w:rFonts w:hint="default" w:ascii="Times New Roman" w:hAnsi="Times New Roman" w:eastAsia="仿宋_GB2312" w:cs="Times New Roman"/>
          <w:sz w:val="32"/>
          <w:szCs w:val="32"/>
        </w:rPr>
        <w:t>部门预算包括</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机关本级预算和</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属单位预算。</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snapToGrid/>
          <w:sz w:val="32"/>
          <w:szCs w:val="32"/>
          <w:lang w:val="en-US" w:eastAsia="zh-CN" w:bidi="en-US"/>
        </w:rPr>
      </w:pPr>
      <w:r>
        <w:rPr>
          <w:rFonts w:hint="default" w:ascii="Times New Roman" w:hAnsi="Times New Roman" w:eastAsia="仿宋_GB2312" w:cs="Times New Roman"/>
          <w:snapToGrid/>
          <w:sz w:val="32"/>
          <w:szCs w:val="32"/>
          <w:lang w:val="en-US" w:eastAsia="zh-CN" w:bidi="en-US"/>
        </w:rPr>
        <w:t>局机关本级预算包括：综合办公室、中小企业服务办公室、工业经济运行办公室、工业转型升级办公室、科学技术办公室的预算。</w:t>
      </w:r>
    </w:p>
    <w:p>
      <w:pPr>
        <w:pStyle w:val="11"/>
        <w:spacing w:after="280" w:line="599" w:lineRule="exact"/>
        <w:ind w:firstLine="64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属单位预算包括：</w:t>
      </w:r>
      <w:r>
        <w:rPr>
          <w:rFonts w:hint="default" w:ascii="Times New Roman" w:hAnsi="Times New Roman" w:eastAsia="仿宋_GB2312" w:cs="Times New Roman"/>
          <w:sz w:val="32"/>
          <w:szCs w:val="32"/>
          <w:lang w:val="en-US" w:eastAsia="zh-CN"/>
        </w:rPr>
        <w:t>鹤壁市鹤山区民营企业发展服务中心。</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snapToGrid/>
          <w:sz w:val="32"/>
          <w:szCs w:val="32"/>
          <w:lang w:val="en-US" w:eastAsia="zh-CN" w:bidi="en-US"/>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napToGrid/>
          <w:sz w:val="32"/>
          <w:szCs w:val="32"/>
          <w:lang w:val="en-US" w:eastAsia="zh-CN" w:bidi="en-US"/>
        </w:rPr>
        <w:sectPr>
          <w:pgSz w:w="11906" w:h="16839"/>
          <w:pgMar w:top="1757" w:right="1335" w:bottom="1757" w:left="1531" w:header="0" w:footer="0" w:gutter="0"/>
          <w:cols w:space="720" w:num="1"/>
          <w:rtlGutter w:val="0"/>
          <w:docGrid w:linePitch="0" w:charSpace="0"/>
        </w:sectPr>
      </w:pPr>
      <w:r>
        <w:rPr>
          <w:rFonts w:hint="default" w:ascii="Times New Roman" w:hAnsi="Times New Roman" w:eastAsia="仿宋_GB2312" w:cs="Times New Roman"/>
          <w:snapToGrid/>
          <w:sz w:val="32"/>
          <w:szCs w:val="32"/>
          <w:lang w:val="en-US" w:eastAsia="zh-CN" w:bidi="en-US"/>
        </w:rPr>
        <w:t xml:space="preserve"> </w:t>
      </w:r>
    </w:p>
    <w:p>
      <w:pPr>
        <w:keepNext w:val="0"/>
        <w:keepLines w:val="0"/>
        <w:pageBreakBefore w:val="0"/>
        <w:widowControl/>
        <w:wordWrap/>
        <w:topLinePunct w:val="0"/>
        <w:bidi w:val="0"/>
        <w:spacing w:before="191" w:line="580" w:lineRule="exact"/>
        <w:ind w:left="218" w:leftChars="104" w:firstLine="3690" w:firstLineChars="1132"/>
        <w:jc w:val="both"/>
        <w:rPr>
          <w:rFonts w:ascii="黑体" w:hAnsi="黑体" w:eastAsia="黑体" w:cs="黑体"/>
          <w:sz w:val="31"/>
          <w:szCs w:val="31"/>
        </w:rPr>
      </w:pPr>
      <w:r>
        <w:rPr>
          <w:rFonts w:ascii="黑体" w:hAnsi="黑体" w:eastAsia="黑体" w:cs="黑体"/>
          <w:spacing w:val="8"/>
          <w:sz w:val="31"/>
          <w:szCs w:val="31"/>
        </w:rPr>
        <w:t>第</w:t>
      </w:r>
      <w:r>
        <w:rPr>
          <w:rFonts w:ascii="黑体" w:hAnsi="黑体" w:eastAsia="黑体" w:cs="黑体"/>
          <w:spacing w:val="6"/>
          <w:sz w:val="31"/>
          <w:szCs w:val="31"/>
        </w:rPr>
        <w:t>二部分</w:t>
      </w:r>
    </w:p>
    <w:p>
      <w:pPr>
        <w:keepNext w:val="0"/>
        <w:keepLines w:val="0"/>
        <w:pageBreakBefore w:val="0"/>
        <w:widowControl/>
        <w:wordWrap/>
        <w:topLinePunct w:val="0"/>
        <w:bidi w:val="0"/>
        <w:spacing w:before="219" w:line="580" w:lineRule="exact"/>
        <w:ind w:firstLine="660" w:firstLineChars="200"/>
        <w:outlineLvl w:val="0"/>
      </w:pPr>
      <w:r>
        <w:rPr>
          <w:rFonts w:hint="eastAsia" w:ascii="黑体" w:hAnsi="黑体" w:eastAsia="黑体" w:cs="黑体"/>
          <w:spacing w:val="10"/>
          <w:sz w:val="31"/>
          <w:szCs w:val="31"/>
        </w:rPr>
        <w:t>鹤壁市鹤山区</w:t>
      </w:r>
      <w:r>
        <w:rPr>
          <w:rFonts w:ascii="黑体" w:hAnsi="黑体" w:eastAsia="黑体" w:cs="黑体"/>
          <w:spacing w:val="5"/>
          <w:sz w:val="31"/>
          <w:szCs w:val="31"/>
        </w:rPr>
        <w:t>工业和信息化</w:t>
      </w:r>
      <w:r>
        <w:rPr>
          <w:rFonts w:hint="eastAsia" w:ascii="黑体" w:hAnsi="黑体" w:eastAsia="黑体" w:cs="黑体"/>
          <w:spacing w:val="5"/>
          <w:sz w:val="31"/>
          <w:szCs w:val="31"/>
        </w:rPr>
        <w:t>局</w:t>
      </w:r>
      <w:r>
        <w:rPr>
          <w:rFonts w:ascii="Times New Roman" w:hAnsi="Times New Roman" w:eastAsia="Times New Roman" w:cs="Times New Roman"/>
          <w:spacing w:val="5"/>
          <w:sz w:val="31"/>
          <w:szCs w:val="31"/>
        </w:rPr>
        <w:t>202</w:t>
      </w:r>
      <w:r>
        <w:rPr>
          <w:rFonts w:hint="eastAsia" w:ascii="Times New Roman" w:hAnsi="Times New Roman" w:eastAsia="宋体" w:cs="Times New Roman"/>
          <w:spacing w:val="5"/>
          <w:sz w:val="31"/>
          <w:szCs w:val="31"/>
          <w:lang w:val="en-US" w:eastAsia="zh-CN"/>
        </w:rPr>
        <w:t>3</w:t>
      </w:r>
      <w:r>
        <w:rPr>
          <w:rFonts w:ascii="黑体" w:hAnsi="黑体" w:eastAsia="黑体" w:cs="黑体"/>
          <w:spacing w:val="5"/>
          <w:sz w:val="31"/>
          <w:szCs w:val="31"/>
        </w:rPr>
        <w:t>年</w:t>
      </w:r>
      <w:r>
        <w:rPr>
          <w:rFonts w:hint="eastAsia" w:ascii="黑体" w:hAnsi="黑体" w:eastAsia="黑体" w:cs="黑体"/>
          <w:spacing w:val="5"/>
          <w:sz w:val="31"/>
          <w:szCs w:val="31"/>
          <w:lang w:val="en-US" w:eastAsia="zh-CN"/>
        </w:rPr>
        <w:t>部门</w:t>
      </w:r>
      <w:r>
        <w:rPr>
          <w:rFonts w:ascii="黑体" w:hAnsi="黑体" w:eastAsia="黑体" w:cs="黑体"/>
          <w:spacing w:val="5"/>
          <w:sz w:val="31"/>
          <w:szCs w:val="31"/>
        </w:rPr>
        <w:t>预算情况说明</w:t>
      </w:r>
    </w:p>
    <w:p>
      <w:pPr>
        <w:keepNext w:val="0"/>
        <w:keepLines w:val="0"/>
        <w:pageBreakBefore w:val="0"/>
        <w:widowControl/>
        <w:wordWrap/>
        <w:topLinePunct w:val="0"/>
        <w:bidi w:val="0"/>
        <w:spacing w:before="101" w:line="580" w:lineRule="exact"/>
        <w:ind w:left="645"/>
        <w:outlineLvl w:val="1"/>
        <w:rPr>
          <w:rFonts w:ascii="黑体" w:hAnsi="黑体" w:eastAsia="黑体" w:cs="黑体"/>
          <w:spacing w:val="16"/>
          <w:position w:val="4"/>
          <w:sz w:val="31"/>
          <w:szCs w:val="31"/>
        </w:rPr>
      </w:pPr>
    </w:p>
    <w:p>
      <w:pPr>
        <w:keepNext w:val="0"/>
        <w:keepLines w:val="0"/>
        <w:pageBreakBefore w:val="0"/>
        <w:widowControl/>
        <w:wordWrap/>
        <w:topLinePunct w:val="0"/>
        <w:bidi w:val="0"/>
        <w:spacing w:before="101" w:line="580" w:lineRule="exact"/>
        <w:ind w:left="645"/>
        <w:outlineLvl w:val="1"/>
        <w:rPr>
          <w:rFonts w:ascii="黑体" w:hAnsi="黑体" w:eastAsia="黑体" w:cs="黑体"/>
          <w:sz w:val="31"/>
          <w:szCs w:val="31"/>
        </w:rPr>
      </w:pPr>
      <w:r>
        <w:rPr>
          <w:rFonts w:ascii="黑体" w:hAnsi="黑体" w:eastAsia="黑体" w:cs="黑体"/>
          <w:spacing w:val="16"/>
          <w:position w:val="4"/>
          <w:sz w:val="31"/>
          <w:szCs w:val="31"/>
        </w:rPr>
        <w:t>一</w:t>
      </w:r>
      <w:r>
        <w:rPr>
          <w:rFonts w:ascii="黑体" w:hAnsi="黑体" w:eastAsia="黑体" w:cs="黑体"/>
          <w:spacing w:val="8"/>
          <w:position w:val="4"/>
          <w:sz w:val="31"/>
          <w:szCs w:val="31"/>
        </w:rPr>
        <w:t>、收入支出预算总体情况说明</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eastAsia" w:ascii="Times New Roman" w:hAnsi="Times New Roman" w:eastAsia="仿宋_GB2312" w:cs="Times New Roman"/>
          <w:snapToGrid/>
          <w:color w:val="000000" w:themeColor="text1"/>
          <w:sz w:val="32"/>
          <w:szCs w:val="32"/>
          <w:highlight w:val="none"/>
          <w:lang w:val="en-US" w:eastAsia="zh-CN" w:bidi="en-US"/>
          <w14:textFill>
            <w14:solidFill>
              <w14:schemeClr w14:val="tx1"/>
            </w14:solidFill>
          </w14:textFill>
        </w:rPr>
      </w:pPr>
      <w:r>
        <w:rPr>
          <w:rFonts w:hint="default" w:ascii="Times New Roman" w:hAnsi="Times New Roman" w:eastAsia="仿宋_GB2312" w:cs="Times New Roman"/>
          <w:snapToGrid/>
          <w:color w:val="000000" w:themeColor="text1"/>
          <w:sz w:val="32"/>
          <w:szCs w:val="32"/>
          <w:highlight w:val="none"/>
          <w:lang w:eastAsia="zh-CN" w:bidi="en-US"/>
          <w14:textFill>
            <w14:solidFill>
              <w14:schemeClr w14:val="tx1"/>
            </w14:solidFill>
          </w14:textFill>
        </w:rPr>
        <w:t>鹤壁市鹤山区工业和信息化局202</w:t>
      </w:r>
      <w:r>
        <w:rPr>
          <w:rFonts w:hint="eastAsia" w:ascii="Times New Roman" w:hAnsi="Times New Roman" w:eastAsia="仿宋_GB2312" w:cs="Times New Roman"/>
          <w:snapToGrid/>
          <w:color w:val="000000" w:themeColor="text1"/>
          <w:sz w:val="32"/>
          <w:szCs w:val="32"/>
          <w:highlight w:val="none"/>
          <w:lang w:val="en-US" w:eastAsia="zh-CN" w:bidi="en-US"/>
          <w14:textFill>
            <w14:solidFill>
              <w14:schemeClr w14:val="tx1"/>
            </w14:solidFill>
          </w14:textFill>
        </w:rPr>
        <w:t>3</w:t>
      </w:r>
      <w:r>
        <w:rPr>
          <w:rFonts w:hint="default" w:ascii="Times New Roman" w:hAnsi="Times New Roman" w:eastAsia="仿宋_GB2312" w:cs="Times New Roman"/>
          <w:snapToGrid/>
          <w:color w:val="000000" w:themeColor="text1"/>
          <w:sz w:val="32"/>
          <w:szCs w:val="32"/>
          <w:highlight w:val="none"/>
          <w:lang w:eastAsia="zh-CN" w:bidi="en-US"/>
          <w14:textFill>
            <w14:solidFill>
              <w14:schemeClr w14:val="tx1"/>
            </w14:solidFill>
          </w14:textFill>
        </w:rPr>
        <w:t>年收入总计</w:t>
      </w:r>
      <w:r>
        <w:rPr>
          <w:rFonts w:hint="eastAsia" w:ascii="Times New Roman" w:hAnsi="Times New Roman" w:eastAsia="仿宋_GB2312" w:cs="Times New Roman"/>
          <w:snapToGrid/>
          <w:color w:val="000000" w:themeColor="text1"/>
          <w:sz w:val="32"/>
          <w:szCs w:val="32"/>
          <w:highlight w:val="none"/>
          <w:lang w:val="en-US" w:eastAsia="zh-CN" w:bidi="en-US"/>
          <w14:textFill>
            <w14:solidFill>
              <w14:schemeClr w14:val="tx1"/>
            </w14:solidFill>
          </w14:textFill>
        </w:rPr>
        <w:t>647.03</w:t>
      </w:r>
      <w:r>
        <w:rPr>
          <w:rFonts w:hint="default" w:ascii="Times New Roman" w:hAnsi="Times New Roman" w:eastAsia="仿宋_GB2312" w:cs="Times New Roman"/>
          <w:snapToGrid/>
          <w:color w:val="000000" w:themeColor="text1"/>
          <w:sz w:val="32"/>
          <w:szCs w:val="32"/>
          <w:highlight w:val="none"/>
          <w:lang w:eastAsia="zh-CN" w:bidi="en-US"/>
          <w14:textFill>
            <w14:solidFill>
              <w14:schemeClr w14:val="tx1"/>
            </w14:solidFill>
          </w14:textFill>
        </w:rPr>
        <w:t>万元，</w:t>
      </w:r>
      <w:r>
        <w:rPr>
          <w:rFonts w:hint="default" w:ascii="Times New Roman" w:hAnsi="Times New Roman" w:eastAsia="仿宋_GB2312" w:cs="Times New Roman"/>
          <w:snapToGrid/>
          <w:color w:val="000000"/>
          <w:sz w:val="32"/>
          <w:szCs w:val="32"/>
          <w:lang w:val="en-US" w:eastAsia="zh-CN" w:bidi="zh-TW"/>
        </w:rPr>
        <w:t>支出总计</w:t>
      </w:r>
      <w:r>
        <w:rPr>
          <w:rFonts w:hint="eastAsia" w:ascii="Times New Roman" w:hAnsi="Times New Roman" w:eastAsia="仿宋_GB2312" w:cs="Times New Roman"/>
          <w:snapToGrid/>
          <w:color w:val="000000"/>
          <w:sz w:val="32"/>
          <w:szCs w:val="32"/>
          <w:lang w:val="en-US" w:eastAsia="zh-CN" w:bidi="zh-TW"/>
        </w:rPr>
        <w:t>647.03</w:t>
      </w:r>
      <w:r>
        <w:rPr>
          <w:rFonts w:hint="default" w:ascii="Times New Roman" w:hAnsi="Times New Roman" w:eastAsia="仿宋_GB2312" w:cs="Times New Roman"/>
          <w:snapToGrid/>
          <w:color w:val="000000"/>
          <w:sz w:val="32"/>
          <w:szCs w:val="32"/>
          <w:lang w:val="en-US" w:eastAsia="zh-CN" w:bidi="zh-TW"/>
        </w:rPr>
        <w:t>万元，与202</w:t>
      </w:r>
      <w:r>
        <w:rPr>
          <w:rFonts w:hint="eastAsia" w:ascii="Times New Roman" w:hAnsi="Times New Roman" w:eastAsia="仿宋_GB2312" w:cs="Times New Roman"/>
          <w:snapToGrid/>
          <w:color w:val="000000"/>
          <w:sz w:val="32"/>
          <w:szCs w:val="32"/>
          <w:lang w:val="en-US" w:eastAsia="zh-CN" w:bidi="zh-TW"/>
        </w:rPr>
        <w:t>2</w:t>
      </w:r>
      <w:r>
        <w:rPr>
          <w:rFonts w:hint="default" w:ascii="Times New Roman" w:hAnsi="Times New Roman" w:eastAsia="仿宋_GB2312" w:cs="Times New Roman"/>
          <w:snapToGrid/>
          <w:color w:val="000000"/>
          <w:sz w:val="32"/>
          <w:szCs w:val="32"/>
          <w:lang w:val="en-US" w:eastAsia="zh-CN" w:bidi="zh-TW"/>
        </w:rPr>
        <w:t>年</w:t>
      </w:r>
      <w:r>
        <w:rPr>
          <w:rFonts w:hint="eastAsia" w:ascii="Times New Roman" w:hAnsi="Times New Roman" w:eastAsia="仿宋_GB2312" w:cs="Times New Roman"/>
          <w:snapToGrid/>
          <w:color w:val="000000"/>
          <w:sz w:val="32"/>
          <w:szCs w:val="32"/>
          <w:lang w:val="en-US" w:eastAsia="zh-CN" w:bidi="zh-TW"/>
        </w:rPr>
        <w:t>预算</w:t>
      </w:r>
      <w:r>
        <w:rPr>
          <w:rFonts w:hint="default" w:ascii="Times New Roman" w:hAnsi="Times New Roman" w:eastAsia="仿宋_GB2312" w:cs="Times New Roman"/>
          <w:snapToGrid/>
          <w:color w:val="000000"/>
          <w:sz w:val="32"/>
          <w:szCs w:val="32"/>
          <w:lang w:val="en-US" w:eastAsia="zh-CN" w:bidi="zh-TW"/>
        </w:rPr>
        <w:t>相比，收</w:t>
      </w:r>
      <w:r>
        <w:rPr>
          <w:rFonts w:hint="eastAsia" w:ascii="Times New Roman" w:hAnsi="Times New Roman" w:eastAsia="仿宋_GB2312" w:cs="Times New Roman"/>
          <w:snapToGrid/>
          <w:color w:val="000000"/>
          <w:sz w:val="32"/>
          <w:szCs w:val="32"/>
          <w:lang w:val="en-US" w:eastAsia="zh-CN" w:bidi="zh-TW"/>
        </w:rPr>
        <w:t>、支总计各增加439.23</w:t>
      </w:r>
      <w:r>
        <w:rPr>
          <w:rFonts w:hint="default" w:ascii="Times New Roman" w:hAnsi="Times New Roman" w:eastAsia="仿宋_GB2312" w:cs="Times New Roman"/>
          <w:snapToGrid/>
          <w:color w:val="000000"/>
          <w:sz w:val="32"/>
          <w:szCs w:val="32"/>
          <w:lang w:val="en-US" w:eastAsia="zh-CN" w:bidi="zh-TW"/>
        </w:rPr>
        <w:t>万元</w:t>
      </w:r>
      <w:r>
        <w:rPr>
          <w:rFonts w:hint="default" w:ascii="Times New Roman" w:hAnsi="Times New Roman" w:eastAsia="仿宋_GB2312" w:cs="Times New Roman"/>
          <w:snapToGrid/>
          <w:color w:val="000000" w:themeColor="text1"/>
          <w:sz w:val="32"/>
          <w:szCs w:val="32"/>
          <w:highlight w:val="none"/>
          <w:lang w:eastAsia="zh-CN" w:bidi="en-US"/>
          <w14:textFill>
            <w14:solidFill>
              <w14:schemeClr w14:val="tx1"/>
            </w14:solidFill>
          </w14:textFill>
        </w:rPr>
        <w:t>，</w:t>
      </w:r>
      <w:r>
        <w:rPr>
          <w:rFonts w:hint="eastAsia" w:ascii="Times New Roman" w:hAnsi="Times New Roman" w:eastAsia="仿宋_GB2312" w:cs="Times New Roman"/>
          <w:snapToGrid/>
          <w:color w:val="000000" w:themeColor="text1"/>
          <w:sz w:val="32"/>
          <w:szCs w:val="32"/>
          <w:highlight w:val="none"/>
          <w:lang w:val="en-US" w:eastAsia="zh-CN" w:bidi="en-US"/>
          <w14:textFill>
            <w14:solidFill>
              <w14:schemeClr w14:val="tx1"/>
            </w14:solidFill>
          </w14:textFill>
        </w:rPr>
        <w:t>增长211.37</w:t>
      </w:r>
      <w:r>
        <w:rPr>
          <w:rFonts w:hint="default" w:ascii="Times New Roman" w:hAnsi="Times New Roman" w:eastAsia="仿宋_GB2312" w:cs="Times New Roman"/>
          <w:snapToGrid/>
          <w:color w:val="000000" w:themeColor="text1"/>
          <w:sz w:val="32"/>
          <w:szCs w:val="32"/>
          <w:highlight w:val="none"/>
          <w:lang w:eastAsia="zh-CN" w:bidi="en-US"/>
          <w14:textFill>
            <w14:solidFill>
              <w14:schemeClr w14:val="tx1"/>
            </w14:solidFill>
          </w14:textFill>
        </w:rPr>
        <w:t>%。主要原因</w:t>
      </w:r>
      <w:r>
        <w:rPr>
          <w:rFonts w:hint="eastAsia" w:ascii="Times New Roman" w:hAnsi="Times New Roman" w:eastAsia="仿宋_GB2312" w:cs="Times New Roman"/>
          <w:snapToGrid/>
          <w:color w:val="000000" w:themeColor="text1"/>
          <w:sz w:val="32"/>
          <w:szCs w:val="32"/>
          <w:highlight w:val="none"/>
          <w:lang w:eastAsia="zh-CN" w:bidi="en-US"/>
          <w14:textFill>
            <w14:solidFill>
              <w14:schemeClr w14:val="tx1"/>
            </w14:solidFill>
          </w14:textFill>
        </w:rPr>
        <w:t>：一是其他科学技术项目预算</w:t>
      </w:r>
      <w:r>
        <w:rPr>
          <w:rFonts w:hint="eastAsia" w:ascii="Times New Roman" w:hAnsi="Times New Roman" w:eastAsia="仿宋_GB2312" w:cs="Times New Roman"/>
          <w:snapToGrid/>
          <w:color w:val="000000" w:themeColor="text1"/>
          <w:sz w:val="32"/>
          <w:szCs w:val="32"/>
          <w:highlight w:val="none"/>
          <w:lang w:val="en-US" w:eastAsia="zh-CN" w:bidi="en-US"/>
          <w14:textFill>
            <w14:solidFill>
              <w14:schemeClr w14:val="tx1"/>
            </w14:solidFill>
          </w14:textFill>
        </w:rPr>
        <w:t>增加</w:t>
      </w:r>
      <w:r>
        <w:rPr>
          <w:rFonts w:hint="eastAsia" w:ascii="Times New Roman" w:hAnsi="Times New Roman" w:eastAsia="仿宋_GB2312" w:cs="Times New Roman"/>
          <w:snapToGrid/>
          <w:color w:val="000000" w:themeColor="text1"/>
          <w:sz w:val="32"/>
          <w:szCs w:val="32"/>
          <w:highlight w:val="none"/>
          <w:lang w:eastAsia="zh-CN" w:bidi="en-US"/>
          <w14:textFill>
            <w14:solidFill>
              <w14:schemeClr w14:val="tx1"/>
            </w14:solidFill>
          </w14:textFill>
        </w:rPr>
        <w:t>；二是因人员调动及工资调整，基本支出增加。</w:t>
      </w:r>
    </w:p>
    <w:p>
      <w:pPr>
        <w:pStyle w:val="11"/>
        <w:keepNext w:val="0"/>
        <w:keepLines w:val="0"/>
        <w:pageBreakBefore w:val="0"/>
        <w:widowControl w:val="0"/>
        <w:tabs>
          <w:tab w:val="left" w:pos="1571"/>
        </w:tabs>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cs="Times New Roman"/>
          <w:snapToGrid/>
          <w:sz w:val="32"/>
          <w:szCs w:val="32"/>
        </w:rPr>
      </w:pPr>
      <w:r>
        <w:rPr>
          <w:rFonts w:ascii="Times New Roman" w:hAnsi="Times New Roman" w:eastAsia="黑体" w:cs="Times New Roman"/>
          <w:snapToGrid/>
          <w:sz w:val="32"/>
          <w:szCs w:val="32"/>
        </w:rPr>
        <w:t>二、收入预算总体情况说明</w:t>
      </w:r>
    </w:p>
    <w:p>
      <w:pPr>
        <w:pStyle w:val="11"/>
        <w:keepNext w:val="0"/>
        <w:keepLines w:val="0"/>
        <w:pageBreakBefore w:val="0"/>
        <w:widowControl w:val="0"/>
        <w:tabs>
          <w:tab w:val="left" w:pos="1571"/>
        </w:tabs>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cs="Times New Roman"/>
          <w:snapToGrid/>
          <w:sz w:val="32"/>
          <w:szCs w:val="32"/>
        </w:rPr>
      </w:pPr>
      <w:r>
        <w:rPr>
          <w:rFonts w:hint="default" w:ascii="Times New Roman" w:hAnsi="Times New Roman" w:eastAsia="仿宋_GB2312" w:cs="Times New Roman"/>
          <w:snapToGrid/>
          <w:sz w:val="32"/>
          <w:szCs w:val="32"/>
          <w:lang w:val="en-US" w:eastAsia="zh-CN"/>
        </w:rPr>
        <w:t>鹤壁市鹤山区工业化信息化局202</w:t>
      </w:r>
      <w:r>
        <w:rPr>
          <w:rFonts w:hint="eastAsia" w:ascii="Times New Roman" w:hAnsi="Times New Roman" w:eastAsia="仿宋_GB2312" w:cs="Times New Roman"/>
          <w:snapToGrid/>
          <w:sz w:val="32"/>
          <w:szCs w:val="32"/>
          <w:lang w:val="en-US" w:eastAsia="zh-CN"/>
        </w:rPr>
        <w:t>3</w:t>
      </w:r>
      <w:r>
        <w:rPr>
          <w:rFonts w:hint="default" w:ascii="Times New Roman" w:hAnsi="Times New Roman" w:eastAsia="仿宋_GB2312" w:cs="Times New Roman"/>
          <w:snapToGrid/>
          <w:sz w:val="32"/>
          <w:szCs w:val="32"/>
          <w:lang w:val="en-US" w:eastAsia="zh-CN"/>
        </w:rPr>
        <w:t>年收入合计</w:t>
      </w:r>
      <w:r>
        <w:rPr>
          <w:rFonts w:hint="eastAsia" w:ascii="Times New Roman" w:hAnsi="Times New Roman" w:eastAsia="仿宋_GB2312" w:cs="Times New Roman"/>
          <w:snapToGrid/>
          <w:color w:val="000000" w:themeColor="text1"/>
          <w:sz w:val="32"/>
          <w:szCs w:val="32"/>
          <w:highlight w:val="none"/>
          <w:lang w:val="en-US" w:eastAsia="zh-CN" w:bidi="en-US"/>
          <w14:textFill>
            <w14:solidFill>
              <w14:schemeClr w14:val="tx1"/>
            </w14:solidFill>
          </w14:textFill>
        </w:rPr>
        <w:t>647.03</w:t>
      </w:r>
      <w:r>
        <w:rPr>
          <w:rFonts w:hint="default" w:ascii="Times New Roman" w:hAnsi="Times New Roman" w:eastAsia="仿宋_GB2312" w:cs="Times New Roman"/>
          <w:snapToGrid/>
          <w:sz w:val="32"/>
          <w:szCs w:val="32"/>
          <w:lang w:val="en-US" w:eastAsia="zh-CN"/>
        </w:rPr>
        <w:t>万元</w:t>
      </w:r>
      <w:r>
        <w:rPr>
          <w:rFonts w:hint="eastAsia" w:ascii="Times New Roman" w:hAnsi="Times New Roman" w:eastAsia="仿宋_GB2312" w:cs="Times New Roman"/>
          <w:snapToGrid/>
          <w:sz w:val="32"/>
          <w:szCs w:val="32"/>
          <w:lang w:val="en-US" w:eastAsia="zh-CN"/>
        </w:rPr>
        <w:t>，</w:t>
      </w:r>
      <w:r>
        <w:rPr>
          <w:rFonts w:hint="default" w:ascii="Times New Roman" w:hAnsi="Times New Roman" w:eastAsia="仿宋_GB2312" w:cs="Times New Roman"/>
          <w:snapToGrid/>
          <w:sz w:val="32"/>
          <w:szCs w:val="32"/>
          <w:lang w:val="en-US" w:eastAsia="zh-CN"/>
        </w:rPr>
        <w:t>其中：一般公共预算</w:t>
      </w:r>
      <w:r>
        <w:rPr>
          <w:rFonts w:hint="eastAsia" w:ascii="Times New Roman" w:hAnsi="Times New Roman" w:eastAsia="仿宋_GB2312" w:cs="Times New Roman"/>
          <w:snapToGrid/>
          <w:color w:val="000000" w:themeColor="text1"/>
          <w:sz w:val="32"/>
          <w:szCs w:val="32"/>
          <w:highlight w:val="none"/>
          <w:lang w:val="en-US" w:eastAsia="zh-CN" w:bidi="en-US"/>
          <w14:textFill>
            <w14:solidFill>
              <w14:schemeClr w14:val="tx1"/>
            </w14:solidFill>
          </w14:textFill>
        </w:rPr>
        <w:t>647.03</w:t>
      </w:r>
      <w:r>
        <w:rPr>
          <w:rFonts w:hint="default" w:ascii="Times New Roman" w:hAnsi="Times New Roman" w:eastAsia="仿宋_GB2312" w:cs="Times New Roman"/>
          <w:snapToGrid/>
          <w:sz w:val="32"/>
          <w:szCs w:val="32"/>
          <w:lang w:val="en-US" w:eastAsia="zh-CN"/>
        </w:rPr>
        <w:t>万元。</w:t>
      </w:r>
    </w:p>
    <w:p>
      <w:pPr>
        <w:keepNext w:val="0"/>
        <w:keepLines w:val="0"/>
        <w:pageBreakBefore w:val="0"/>
        <w:widowControl/>
        <w:wordWrap/>
        <w:topLinePunct w:val="0"/>
        <w:bidi w:val="0"/>
        <w:spacing w:before="1" w:line="580" w:lineRule="exact"/>
        <w:ind w:left="647"/>
        <w:outlineLvl w:val="1"/>
        <w:rPr>
          <w:rFonts w:ascii="黑体" w:hAnsi="黑体" w:eastAsia="黑体" w:cs="黑体"/>
          <w:sz w:val="31"/>
          <w:szCs w:val="31"/>
        </w:rPr>
      </w:pPr>
      <w:r>
        <w:rPr>
          <w:rFonts w:ascii="黑体" w:hAnsi="黑体" w:eastAsia="黑体" w:cs="黑体"/>
          <w:spacing w:val="12"/>
          <w:sz w:val="31"/>
          <w:szCs w:val="31"/>
        </w:rPr>
        <w:t>三</w:t>
      </w:r>
      <w:r>
        <w:rPr>
          <w:rFonts w:ascii="黑体" w:hAnsi="黑体" w:eastAsia="黑体" w:cs="黑体"/>
          <w:spacing w:val="8"/>
          <w:sz w:val="31"/>
          <w:szCs w:val="31"/>
        </w:rPr>
        <w:t>、支出预算总体情况说明</w:t>
      </w:r>
    </w:p>
    <w:p>
      <w:pPr>
        <w:pStyle w:val="13"/>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napToGrid/>
          <w:sz w:val="32"/>
          <w:szCs w:val="32"/>
          <w:lang w:val="en-US" w:eastAsia="zh-CN"/>
        </w:rPr>
      </w:pPr>
      <w:r>
        <w:rPr>
          <w:rFonts w:hint="default" w:ascii="Times New Roman" w:hAnsi="Times New Roman" w:eastAsia="仿宋_GB2312" w:cs="Times New Roman"/>
          <w:snapToGrid/>
          <w:sz w:val="32"/>
          <w:szCs w:val="32"/>
          <w:lang w:val="en-US" w:eastAsia="zh-CN"/>
        </w:rPr>
        <w:t>鹤壁市鹤山区工业化信息化局202</w:t>
      </w:r>
      <w:r>
        <w:rPr>
          <w:rFonts w:hint="eastAsia" w:ascii="Times New Roman" w:hAnsi="Times New Roman" w:eastAsia="仿宋_GB2312" w:cs="Times New Roman"/>
          <w:snapToGrid/>
          <w:sz w:val="32"/>
          <w:szCs w:val="32"/>
          <w:lang w:val="en-US" w:eastAsia="zh-CN"/>
        </w:rPr>
        <w:t>3</w:t>
      </w:r>
      <w:r>
        <w:rPr>
          <w:rFonts w:hint="default" w:ascii="Times New Roman" w:hAnsi="Times New Roman" w:eastAsia="仿宋_GB2312" w:cs="Times New Roman"/>
          <w:snapToGrid/>
          <w:sz w:val="32"/>
          <w:szCs w:val="32"/>
          <w:lang w:val="en-US" w:eastAsia="zh-CN"/>
        </w:rPr>
        <w:t>年支出合计</w:t>
      </w:r>
      <w:r>
        <w:rPr>
          <w:rFonts w:hint="eastAsia" w:ascii="Times New Roman" w:hAnsi="Times New Roman" w:eastAsia="仿宋_GB2312" w:cs="Times New Roman"/>
          <w:snapToGrid/>
          <w:color w:val="000000" w:themeColor="text1"/>
          <w:sz w:val="32"/>
          <w:szCs w:val="32"/>
          <w:highlight w:val="none"/>
          <w:lang w:val="en-US" w:eastAsia="zh-CN" w:bidi="en-US"/>
          <w14:textFill>
            <w14:solidFill>
              <w14:schemeClr w14:val="tx1"/>
            </w14:solidFill>
          </w14:textFill>
        </w:rPr>
        <w:t>647.03</w:t>
      </w:r>
      <w:r>
        <w:rPr>
          <w:rFonts w:hint="default" w:ascii="Times New Roman" w:hAnsi="Times New Roman" w:eastAsia="仿宋_GB2312" w:cs="Times New Roman"/>
          <w:snapToGrid/>
          <w:sz w:val="32"/>
          <w:szCs w:val="32"/>
          <w:lang w:val="en-US" w:eastAsia="zh-CN"/>
        </w:rPr>
        <w:t>万元，其中：基本支出</w:t>
      </w:r>
      <w:r>
        <w:rPr>
          <w:rFonts w:hint="eastAsia" w:ascii="Times New Roman" w:hAnsi="Times New Roman" w:eastAsia="仿宋_GB2312" w:cs="Times New Roman"/>
          <w:snapToGrid/>
          <w:sz w:val="32"/>
          <w:szCs w:val="32"/>
          <w:lang w:val="en-US" w:eastAsia="zh-CN"/>
        </w:rPr>
        <w:t>207.03</w:t>
      </w:r>
      <w:r>
        <w:rPr>
          <w:rFonts w:hint="default" w:ascii="Times New Roman" w:hAnsi="Times New Roman" w:eastAsia="仿宋_GB2312" w:cs="Times New Roman"/>
          <w:snapToGrid/>
          <w:sz w:val="32"/>
          <w:szCs w:val="32"/>
          <w:lang w:val="en-US" w:eastAsia="zh-CN"/>
        </w:rPr>
        <w:t>万元，占</w:t>
      </w:r>
      <w:r>
        <w:rPr>
          <w:rFonts w:hint="eastAsia" w:ascii="Times New Roman" w:hAnsi="Times New Roman" w:eastAsia="仿宋_GB2312" w:cs="Times New Roman"/>
          <w:snapToGrid/>
          <w:sz w:val="32"/>
          <w:szCs w:val="32"/>
          <w:lang w:val="en-US" w:eastAsia="zh-CN"/>
        </w:rPr>
        <w:t>32</w:t>
      </w:r>
      <w:r>
        <w:rPr>
          <w:rFonts w:hint="default" w:ascii="Times New Roman" w:hAnsi="Times New Roman" w:eastAsia="仿宋_GB2312" w:cs="Times New Roman"/>
          <w:snapToGrid/>
          <w:sz w:val="32"/>
          <w:szCs w:val="32"/>
          <w:lang w:val="en-US" w:eastAsia="zh-CN"/>
        </w:rPr>
        <w:t>%；项目支出</w:t>
      </w:r>
      <w:r>
        <w:rPr>
          <w:rFonts w:hint="eastAsia" w:ascii="Times New Roman" w:hAnsi="Times New Roman" w:eastAsia="仿宋_GB2312" w:cs="Times New Roman"/>
          <w:snapToGrid/>
          <w:sz w:val="32"/>
          <w:szCs w:val="32"/>
          <w:lang w:val="en-US" w:eastAsia="zh-CN"/>
        </w:rPr>
        <w:t>440.00</w:t>
      </w:r>
      <w:r>
        <w:rPr>
          <w:rFonts w:hint="default" w:ascii="Times New Roman" w:hAnsi="Times New Roman" w:eastAsia="仿宋_GB2312" w:cs="Times New Roman"/>
          <w:snapToGrid/>
          <w:sz w:val="32"/>
          <w:szCs w:val="32"/>
          <w:lang w:val="en-US" w:eastAsia="zh-CN"/>
        </w:rPr>
        <w:t>万元，</w:t>
      </w:r>
      <w:r>
        <w:rPr>
          <w:rFonts w:hint="eastAsia" w:ascii="Times New Roman" w:hAnsi="Times New Roman" w:eastAsia="仿宋_GB2312" w:cs="Times New Roman"/>
          <w:snapToGrid/>
          <w:sz w:val="32"/>
          <w:szCs w:val="32"/>
          <w:lang w:val="en-US" w:eastAsia="zh-CN"/>
        </w:rPr>
        <w:t>占68</w:t>
      </w:r>
      <w:r>
        <w:rPr>
          <w:rFonts w:hint="default" w:ascii="Times New Roman" w:hAnsi="Times New Roman" w:eastAsia="仿宋_GB2312" w:cs="Times New Roman"/>
          <w:snapToGrid/>
          <w:sz w:val="32"/>
          <w:szCs w:val="32"/>
          <w:lang w:val="en-US" w:eastAsia="zh-CN"/>
        </w:rPr>
        <w:t>%。</w:t>
      </w:r>
    </w:p>
    <w:p>
      <w:pPr>
        <w:keepNext w:val="0"/>
        <w:keepLines w:val="0"/>
        <w:pageBreakBefore w:val="0"/>
        <w:widowControl/>
        <w:wordWrap/>
        <w:topLinePunct w:val="0"/>
        <w:bidi w:val="0"/>
        <w:spacing w:afterAutospacing="0" w:line="580" w:lineRule="exact"/>
        <w:ind w:left="659"/>
        <w:outlineLvl w:val="1"/>
        <w:rPr>
          <w:rFonts w:ascii="黑体" w:hAnsi="黑体" w:eastAsia="黑体" w:cs="黑体"/>
          <w:sz w:val="31"/>
          <w:szCs w:val="31"/>
        </w:rPr>
      </w:pPr>
      <w:r>
        <w:rPr>
          <w:rFonts w:ascii="黑体" w:hAnsi="黑体" w:eastAsia="黑体" w:cs="黑体"/>
          <w:spacing w:val="8"/>
          <w:sz w:val="31"/>
          <w:szCs w:val="31"/>
        </w:rPr>
        <w:t>四、财政拨款</w:t>
      </w:r>
      <w:r>
        <w:rPr>
          <w:rFonts w:ascii="Times New Roman" w:hAnsi="Times New Roman" w:eastAsia="黑体" w:cs="Times New Roman"/>
          <w:sz w:val="32"/>
          <w:szCs w:val="32"/>
        </w:rPr>
        <w:t>收支预算总体情况说明</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eastAsia" w:ascii="Times New Roman" w:hAnsi="Times New Roman" w:eastAsia="仿宋_GB2312" w:cs="Times New Roman"/>
          <w:snapToGrid/>
          <w:color w:val="000000" w:themeColor="text1"/>
          <w:sz w:val="32"/>
          <w:szCs w:val="32"/>
          <w:highlight w:val="none"/>
          <w:lang w:val="en-US" w:eastAsia="zh-CN" w:bidi="en-US"/>
          <w14:textFill>
            <w14:solidFill>
              <w14:schemeClr w14:val="tx1"/>
            </w14:solidFill>
          </w14:textFill>
        </w:rPr>
      </w:pPr>
      <w:r>
        <w:rPr>
          <w:rFonts w:hint="eastAsia" w:ascii="Times New Roman" w:hAnsi="Times New Roman" w:eastAsia="仿宋_GB2312" w:cs="Times New Roman"/>
          <w:snapToGrid/>
          <w:sz w:val="32"/>
          <w:szCs w:val="32"/>
          <w:lang w:val="en-US" w:eastAsia="zh-CN" w:bidi="en-US"/>
        </w:rPr>
        <w:t>鹤壁市鹤山区工业和信息化局</w:t>
      </w:r>
      <w:r>
        <w:rPr>
          <w:rFonts w:hint="default" w:ascii="Times New Roman" w:hAnsi="Times New Roman" w:eastAsia="仿宋_GB2312" w:cs="Times New Roman"/>
          <w:snapToGrid/>
          <w:sz w:val="32"/>
          <w:szCs w:val="32"/>
          <w:lang w:eastAsia="en-US" w:bidi="en-US"/>
        </w:rPr>
        <w:t>202</w:t>
      </w:r>
      <w:r>
        <w:rPr>
          <w:rFonts w:hint="eastAsia" w:ascii="Times New Roman" w:hAnsi="Times New Roman" w:eastAsia="仿宋_GB2312" w:cs="Times New Roman"/>
          <w:snapToGrid/>
          <w:sz w:val="32"/>
          <w:szCs w:val="32"/>
          <w:lang w:val="en-US" w:eastAsia="zh-CN" w:bidi="en-US"/>
        </w:rPr>
        <w:t>3</w:t>
      </w:r>
      <w:r>
        <w:rPr>
          <w:rFonts w:hint="default" w:ascii="Times New Roman" w:hAnsi="Times New Roman" w:eastAsia="仿宋_GB2312" w:cs="Times New Roman"/>
          <w:snapToGrid/>
          <w:sz w:val="32"/>
          <w:szCs w:val="32"/>
          <w:lang w:eastAsia="en-US" w:bidi="en-US"/>
        </w:rPr>
        <w:t>年一般公共预算收支预算</w:t>
      </w:r>
      <w:r>
        <w:rPr>
          <w:rFonts w:hint="eastAsia" w:ascii="Times New Roman" w:hAnsi="Times New Roman" w:eastAsia="仿宋_GB2312" w:cs="Times New Roman"/>
          <w:snapToGrid/>
          <w:sz w:val="32"/>
          <w:szCs w:val="32"/>
          <w:lang w:val="en-US" w:eastAsia="zh-CN" w:bidi="en-US"/>
        </w:rPr>
        <w:t>647.03</w:t>
      </w:r>
      <w:r>
        <w:rPr>
          <w:rFonts w:hint="default" w:ascii="Times New Roman" w:hAnsi="Times New Roman" w:eastAsia="仿宋_GB2312" w:cs="Times New Roman"/>
          <w:snapToGrid/>
          <w:sz w:val="32"/>
          <w:szCs w:val="32"/>
          <w:lang w:eastAsia="en-US" w:bidi="en-US"/>
        </w:rPr>
        <w:t>万元，</w:t>
      </w:r>
      <w:r>
        <w:rPr>
          <w:rFonts w:hint="eastAsia" w:ascii="Times New Roman" w:hAnsi="Times New Roman" w:eastAsia="仿宋_GB2312" w:cs="Times New Roman"/>
          <w:snapToGrid/>
          <w:sz w:val="32"/>
          <w:szCs w:val="32"/>
          <w:lang w:val="en-US" w:eastAsia="zh-CN" w:bidi="en-US"/>
        </w:rPr>
        <w:t>无</w:t>
      </w:r>
      <w:r>
        <w:rPr>
          <w:rFonts w:hint="default" w:ascii="Times New Roman" w:hAnsi="Times New Roman" w:eastAsia="仿宋_GB2312" w:cs="Times New Roman"/>
          <w:snapToGrid/>
          <w:sz w:val="32"/>
          <w:szCs w:val="32"/>
          <w:lang w:eastAsia="en-US" w:bidi="en-US"/>
        </w:rPr>
        <w:t>政府性基金预算</w:t>
      </w:r>
      <w:r>
        <w:rPr>
          <w:rFonts w:hint="eastAsia" w:ascii="Times New Roman" w:hAnsi="Times New Roman" w:eastAsia="仿宋_GB2312" w:cs="Times New Roman"/>
          <w:snapToGrid/>
          <w:sz w:val="32"/>
          <w:szCs w:val="32"/>
          <w:lang w:val="en-US" w:eastAsia="zh-CN" w:bidi="en-US"/>
        </w:rPr>
        <w:t>和</w:t>
      </w:r>
      <w:r>
        <w:rPr>
          <w:rFonts w:hint="default" w:ascii="Times New Roman" w:hAnsi="Times New Roman" w:eastAsia="仿宋_GB2312" w:cs="Times New Roman"/>
          <w:snapToGrid/>
          <w:sz w:val="32"/>
          <w:szCs w:val="32"/>
          <w:lang w:eastAsia="en-US" w:bidi="en-US"/>
        </w:rPr>
        <w:t>国有资本经营预</w:t>
      </w:r>
      <w:r>
        <w:rPr>
          <w:rFonts w:hint="default" w:ascii="Times New Roman" w:hAnsi="Times New Roman" w:eastAsia="仿宋_GB2312" w:cs="Times New Roman"/>
          <w:snapToGrid/>
          <w:sz w:val="32"/>
          <w:szCs w:val="32"/>
          <w:highlight w:val="none"/>
          <w:lang w:eastAsia="en-US" w:bidi="en-US"/>
        </w:rPr>
        <w:t>算。</w:t>
      </w:r>
      <w:r>
        <w:rPr>
          <w:rFonts w:hint="eastAsia" w:ascii="Times New Roman" w:hAnsi="Times New Roman" w:eastAsia="仿宋_GB2312" w:cs="Times New Roman"/>
          <w:snapToGrid/>
          <w:sz w:val="32"/>
          <w:szCs w:val="32"/>
          <w:highlight w:val="none"/>
          <w:lang w:eastAsia="zh-CN" w:bidi="en-US"/>
        </w:rPr>
        <w:t>其中</w:t>
      </w:r>
      <w:r>
        <w:rPr>
          <w:rFonts w:hint="default" w:ascii="Times New Roman" w:hAnsi="Times New Roman" w:eastAsia="仿宋_GB2312" w:cs="Times New Roman"/>
          <w:snapToGrid/>
          <w:sz w:val="32"/>
          <w:szCs w:val="32"/>
          <w:highlight w:val="none"/>
          <w:lang w:eastAsia="en-US" w:bidi="en-US"/>
        </w:rPr>
        <w:t xml:space="preserve"> </w:t>
      </w:r>
      <w:r>
        <w:rPr>
          <w:rFonts w:hint="eastAsia" w:ascii="Times New Roman" w:hAnsi="Times New Roman" w:eastAsia="仿宋_GB2312" w:cs="Times New Roman"/>
          <w:sz w:val="32"/>
          <w:szCs w:val="32"/>
          <w:highlight w:val="none"/>
          <w:lang w:eastAsia="zh-CN"/>
        </w:rPr>
        <w:t>科学技术支出</w:t>
      </w:r>
      <w:r>
        <w:rPr>
          <w:rFonts w:hint="eastAsia" w:ascii="Times New Roman" w:hAnsi="Times New Roman" w:eastAsia="仿宋_GB2312" w:cs="Times New Roman"/>
          <w:sz w:val="32"/>
          <w:szCs w:val="32"/>
          <w:highlight w:val="none"/>
          <w:lang w:val="en-US" w:eastAsia="zh-CN"/>
        </w:rPr>
        <w:t>402万元、资源勘探信息等支出245.03万元。</w:t>
      </w:r>
      <w:r>
        <w:rPr>
          <w:rFonts w:hint="default" w:ascii="Times New Roman" w:hAnsi="Times New Roman" w:eastAsia="仿宋_GB2312" w:cs="Times New Roman"/>
          <w:snapToGrid/>
          <w:sz w:val="32"/>
          <w:szCs w:val="32"/>
          <w:lang w:eastAsia="en-US" w:bidi="en-US"/>
        </w:rPr>
        <w:t>与 202</w:t>
      </w:r>
      <w:r>
        <w:rPr>
          <w:rFonts w:hint="eastAsia" w:ascii="Times New Roman" w:hAnsi="Times New Roman" w:eastAsia="仿宋_GB2312" w:cs="Times New Roman"/>
          <w:snapToGrid/>
          <w:sz w:val="32"/>
          <w:szCs w:val="32"/>
          <w:lang w:val="en-US" w:eastAsia="zh-CN" w:bidi="en-US"/>
        </w:rPr>
        <w:t>2</w:t>
      </w:r>
      <w:r>
        <w:rPr>
          <w:rFonts w:hint="default" w:ascii="Times New Roman" w:hAnsi="Times New Roman" w:eastAsia="仿宋_GB2312" w:cs="Times New Roman"/>
          <w:snapToGrid/>
          <w:sz w:val="32"/>
          <w:szCs w:val="32"/>
          <w:lang w:eastAsia="en-US" w:bidi="en-US"/>
        </w:rPr>
        <w:t>年相比，一 般公共预算收支预算</w:t>
      </w:r>
      <w:r>
        <w:rPr>
          <w:rFonts w:hint="eastAsia" w:ascii="Times New Roman" w:hAnsi="Times New Roman" w:eastAsia="仿宋_GB2312" w:cs="Times New Roman"/>
          <w:snapToGrid/>
          <w:sz w:val="32"/>
          <w:szCs w:val="32"/>
          <w:lang w:val="en-US" w:eastAsia="zh-CN" w:bidi="en-US"/>
        </w:rPr>
        <w:t>增加</w:t>
      </w:r>
      <w:r>
        <w:rPr>
          <w:rFonts w:hint="eastAsia" w:ascii="Times New Roman" w:hAnsi="Times New Roman" w:eastAsia="仿宋_GB2312" w:cs="Times New Roman"/>
          <w:snapToGrid/>
          <w:color w:val="000000"/>
          <w:sz w:val="32"/>
          <w:szCs w:val="32"/>
          <w:lang w:val="en-US" w:eastAsia="zh-CN" w:bidi="zh-TW"/>
        </w:rPr>
        <w:t>439.23</w:t>
      </w:r>
      <w:r>
        <w:rPr>
          <w:rFonts w:hint="default" w:ascii="Times New Roman" w:hAnsi="Times New Roman" w:eastAsia="仿宋_GB2312" w:cs="Times New Roman"/>
          <w:snapToGrid/>
          <w:sz w:val="32"/>
          <w:szCs w:val="32"/>
          <w:lang w:eastAsia="en-US" w:bidi="en-US"/>
        </w:rPr>
        <w:t>万元，</w:t>
      </w:r>
      <w:r>
        <w:rPr>
          <w:rFonts w:hint="eastAsia" w:ascii="Times New Roman" w:hAnsi="Times New Roman" w:eastAsia="仿宋_GB2312" w:cs="Times New Roman"/>
          <w:snapToGrid/>
          <w:sz w:val="32"/>
          <w:szCs w:val="32"/>
          <w:lang w:val="en-US" w:eastAsia="zh-CN" w:bidi="en-US"/>
        </w:rPr>
        <w:t>下降211.37</w:t>
      </w:r>
      <w:r>
        <w:rPr>
          <w:rFonts w:hint="default" w:ascii="Times New Roman" w:hAnsi="Times New Roman" w:eastAsia="仿宋_GB2312" w:cs="Times New Roman"/>
          <w:snapToGrid/>
          <w:sz w:val="32"/>
          <w:szCs w:val="32"/>
          <w:lang w:eastAsia="en-US" w:bidi="en-US"/>
        </w:rPr>
        <w:t>%。</w:t>
      </w:r>
      <w:r>
        <w:rPr>
          <w:rFonts w:hint="default" w:ascii="Times New Roman" w:hAnsi="Times New Roman" w:eastAsia="仿宋_GB2312" w:cs="Times New Roman"/>
          <w:snapToGrid/>
          <w:color w:val="000000" w:themeColor="text1"/>
          <w:sz w:val="32"/>
          <w:szCs w:val="32"/>
          <w:highlight w:val="none"/>
          <w:lang w:eastAsia="zh-CN" w:bidi="en-US"/>
          <w14:textFill>
            <w14:solidFill>
              <w14:schemeClr w14:val="tx1"/>
            </w14:solidFill>
          </w14:textFill>
        </w:rPr>
        <w:t>主要原因</w:t>
      </w:r>
      <w:r>
        <w:rPr>
          <w:rFonts w:hint="eastAsia" w:ascii="Times New Roman" w:hAnsi="Times New Roman" w:eastAsia="仿宋_GB2312" w:cs="Times New Roman"/>
          <w:snapToGrid/>
          <w:color w:val="000000" w:themeColor="text1"/>
          <w:sz w:val="32"/>
          <w:szCs w:val="32"/>
          <w:highlight w:val="none"/>
          <w:lang w:eastAsia="zh-CN" w:bidi="en-US"/>
          <w14:textFill>
            <w14:solidFill>
              <w14:schemeClr w14:val="tx1"/>
            </w14:solidFill>
          </w14:textFill>
        </w:rPr>
        <w:t>：：一是其他科学技术项目预算</w:t>
      </w:r>
      <w:r>
        <w:rPr>
          <w:rFonts w:hint="eastAsia" w:ascii="Times New Roman" w:hAnsi="Times New Roman" w:eastAsia="仿宋_GB2312" w:cs="Times New Roman"/>
          <w:snapToGrid/>
          <w:color w:val="000000" w:themeColor="text1"/>
          <w:sz w:val="32"/>
          <w:szCs w:val="32"/>
          <w:highlight w:val="none"/>
          <w:lang w:val="en-US" w:eastAsia="zh-CN" w:bidi="en-US"/>
          <w14:textFill>
            <w14:solidFill>
              <w14:schemeClr w14:val="tx1"/>
            </w14:solidFill>
          </w14:textFill>
        </w:rPr>
        <w:t>增加</w:t>
      </w:r>
      <w:r>
        <w:rPr>
          <w:rFonts w:hint="eastAsia" w:ascii="Times New Roman" w:hAnsi="Times New Roman" w:eastAsia="仿宋_GB2312" w:cs="Times New Roman"/>
          <w:snapToGrid/>
          <w:color w:val="000000" w:themeColor="text1"/>
          <w:sz w:val="32"/>
          <w:szCs w:val="32"/>
          <w:highlight w:val="none"/>
          <w:lang w:eastAsia="zh-CN" w:bidi="en-US"/>
          <w14:textFill>
            <w14:solidFill>
              <w14:schemeClr w14:val="tx1"/>
            </w14:solidFill>
          </w14:textFill>
        </w:rPr>
        <w:t>；二是因人员调动及工资调整，基本支出增加。</w:t>
      </w:r>
    </w:p>
    <w:p>
      <w:pPr>
        <w:keepNext w:val="0"/>
        <w:keepLines w:val="0"/>
        <w:pageBreakBefore w:val="0"/>
        <w:widowControl/>
        <w:wordWrap/>
        <w:topLinePunct w:val="0"/>
        <w:bidi w:val="0"/>
        <w:spacing w:before="228" w:line="580" w:lineRule="exact"/>
        <w:ind w:firstLine="672" w:firstLineChars="200"/>
        <w:outlineLvl w:val="1"/>
        <w:rPr>
          <w:rFonts w:ascii="黑体" w:hAnsi="黑体" w:eastAsia="黑体" w:cs="黑体"/>
          <w:sz w:val="31"/>
          <w:szCs w:val="31"/>
        </w:rPr>
      </w:pPr>
      <w:r>
        <w:rPr>
          <w:rFonts w:ascii="黑体" w:hAnsi="黑体" w:eastAsia="黑体" w:cs="黑体"/>
          <w:spacing w:val="13"/>
          <w:sz w:val="31"/>
          <w:szCs w:val="31"/>
        </w:rPr>
        <w:t>五</w:t>
      </w:r>
      <w:r>
        <w:rPr>
          <w:rFonts w:ascii="黑体" w:hAnsi="黑体" w:eastAsia="黑体" w:cs="黑体"/>
          <w:spacing w:val="8"/>
          <w:sz w:val="31"/>
          <w:szCs w:val="31"/>
        </w:rPr>
        <w:t>、一般公共预算支出</w:t>
      </w:r>
      <w:r>
        <w:rPr>
          <w:rFonts w:hint="eastAsia" w:ascii="黑体" w:hAnsi="黑体" w:eastAsia="黑体" w:cs="黑体"/>
          <w:spacing w:val="8"/>
          <w:sz w:val="31"/>
          <w:szCs w:val="31"/>
          <w:lang w:val="en-US" w:eastAsia="zh-CN"/>
        </w:rPr>
        <w:t>预算</w:t>
      </w:r>
      <w:r>
        <w:rPr>
          <w:rFonts w:ascii="黑体" w:hAnsi="黑体" w:eastAsia="黑体" w:cs="黑体"/>
          <w:spacing w:val="8"/>
          <w:sz w:val="31"/>
          <w:szCs w:val="31"/>
        </w:rPr>
        <w:t>情况说明</w:t>
      </w:r>
    </w:p>
    <w:p>
      <w:pPr>
        <w:keepNext w:val="0"/>
        <w:keepLines w:val="0"/>
        <w:pageBreakBefore w:val="0"/>
        <w:widowControl w:val="0"/>
        <w:kinsoku/>
        <w:wordWrap/>
        <w:overflowPunct/>
        <w:topLinePunct w:val="0"/>
        <w:autoSpaceDE/>
        <w:autoSpaceDN/>
        <w:bidi w:val="0"/>
        <w:adjustRightInd w:val="0"/>
        <w:snapToGrid w:val="0"/>
        <w:spacing w:line="580" w:lineRule="exact"/>
        <w:ind w:left="-76" w:leftChars="-36" w:firstLine="720" w:firstLineChars="225"/>
        <w:textAlignment w:val="auto"/>
        <w:rPr>
          <w:rFonts w:hint="default" w:ascii="Times New Roman" w:hAnsi="Times New Roman" w:eastAsia="仿宋_GB2312" w:cs="Times New Roman"/>
          <w:snapToGrid/>
          <w:color w:val="000000" w:themeColor="text1"/>
          <w:sz w:val="32"/>
          <w:szCs w:val="32"/>
          <w:highlight w:val="none"/>
          <w:lang w:val="en-US" w:eastAsia="zh-CN" w:bidi="en-US"/>
          <w14:textFill>
            <w14:solidFill>
              <w14:schemeClr w14:val="tx1"/>
            </w14:solidFill>
          </w14:textFill>
        </w:rPr>
      </w:pPr>
      <w:r>
        <w:rPr>
          <w:rFonts w:hint="default" w:ascii="Times New Roman" w:hAnsi="Times New Roman" w:eastAsia="仿宋_GB2312" w:cs="Times New Roman"/>
          <w:snapToGrid/>
          <w:sz w:val="32"/>
          <w:szCs w:val="32"/>
          <w:lang w:val="en-US" w:eastAsia="zh-CN" w:bidi="en-US"/>
        </w:rPr>
        <w:t>鹤壁市鹤山区工业化信息化局 202</w:t>
      </w:r>
      <w:r>
        <w:rPr>
          <w:rFonts w:hint="eastAsia" w:ascii="Times New Roman" w:hAnsi="Times New Roman" w:eastAsia="仿宋_GB2312" w:cs="Times New Roman"/>
          <w:snapToGrid/>
          <w:sz w:val="32"/>
          <w:szCs w:val="32"/>
          <w:lang w:val="en-US" w:eastAsia="zh-CN" w:bidi="en-US"/>
        </w:rPr>
        <w:t>3</w:t>
      </w:r>
      <w:r>
        <w:rPr>
          <w:rFonts w:hint="default" w:ascii="Times New Roman" w:hAnsi="Times New Roman" w:eastAsia="仿宋_GB2312" w:cs="Times New Roman"/>
          <w:snapToGrid/>
          <w:sz w:val="32"/>
          <w:szCs w:val="32"/>
          <w:lang w:val="en-US" w:eastAsia="zh-CN" w:bidi="en-US"/>
        </w:rPr>
        <w:t>年一般公共预算支出年初预算为</w:t>
      </w:r>
      <w:r>
        <w:rPr>
          <w:rFonts w:hint="eastAsia" w:ascii="Times New Roman" w:hAnsi="Times New Roman" w:eastAsia="仿宋_GB2312" w:cs="Times New Roman"/>
          <w:snapToGrid/>
          <w:sz w:val="32"/>
          <w:szCs w:val="32"/>
          <w:lang w:val="en-US" w:eastAsia="zh-CN" w:bidi="en-US"/>
        </w:rPr>
        <w:t>647.03</w:t>
      </w:r>
      <w:r>
        <w:rPr>
          <w:rFonts w:hint="default" w:ascii="Times New Roman" w:hAnsi="Times New Roman" w:eastAsia="仿宋_GB2312" w:cs="Times New Roman"/>
          <w:snapToGrid/>
          <w:sz w:val="32"/>
          <w:szCs w:val="32"/>
          <w:lang w:val="en-US" w:eastAsia="zh-CN" w:bidi="en-US"/>
        </w:rPr>
        <w:t>万元</w:t>
      </w:r>
      <w:r>
        <w:rPr>
          <w:rFonts w:hint="eastAsia" w:ascii="Times New Roman" w:hAnsi="Times New Roman" w:eastAsia="仿宋_GB2312" w:cs="Times New Roman"/>
          <w:snapToGrid/>
          <w:sz w:val="32"/>
          <w:szCs w:val="32"/>
          <w:lang w:val="en-US" w:eastAsia="zh-CN" w:bidi="en-US"/>
        </w:rPr>
        <w:t>，</w:t>
      </w:r>
      <w:r>
        <w:rPr>
          <w:rFonts w:hint="default" w:ascii="Times New Roman" w:hAnsi="Times New Roman" w:eastAsia="仿宋_GB2312" w:cs="Times New Roman"/>
          <w:snapToGrid/>
          <w:sz w:val="32"/>
          <w:szCs w:val="32"/>
          <w:lang w:val="en-US" w:eastAsia="zh-CN" w:bidi="en-US"/>
        </w:rPr>
        <w:t>其中：基本支出</w:t>
      </w:r>
      <w:r>
        <w:rPr>
          <w:rFonts w:hint="eastAsia" w:ascii="Times New Roman" w:hAnsi="Times New Roman" w:eastAsia="仿宋_GB2312" w:cs="Times New Roman"/>
          <w:snapToGrid/>
          <w:sz w:val="32"/>
          <w:szCs w:val="32"/>
          <w:lang w:val="en-US" w:eastAsia="zh-CN" w:bidi="en-US"/>
        </w:rPr>
        <w:t>207.03</w:t>
      </w:r>
      <w:r>
        <w:rPr>
          <w:rFonts w:hint="default" w:ascii="Times New Roman" w:hAnsi="Times New Roman" w:eastAsia="仿宋_GB2312" w:cs="Times New Roman"/>
          <w:snapToGrid/>
          <w:sz w:val="32"/>
          <w:szCs w:val="32"/>
          <w:lang w:val="en-US" w:eastAsia="zh-CN" w:bidi="en-US"/>
        </w:rPr>
        <w:t>万元，</w:t>
      </w:r>
      <w:r>
        <w:rPr>
          <w:rFonts w:hint="eastAsia" w:ascii="Times New Roman" w:hAnsi="Times New Roman" w:eastAsia="仿宋_GB2312" w:cs="Times New Roman"/>
          <w:snapToGrid/>
          <w:sz w:val="32"/>
          <w:szCs w:val="32"/>
          <w:lang w:val="en-US" w:eastAsia="zh-CN" w:bidi="en-US"/>
        </w:rPr>
        <w:t>主要包括工资福利支出、对个人和家庭的补助、商品和服务支出，占32</w:t>
      </w:r>
      <w:r>
        <w:rPr>
          <w:rFonts w:hint="default" w:ascii="Times New Roman" w:hAnsi="Times New Roman" w:eastAsia="仿宋_GB2312" w:cs="Times New Roman"/>
          <w:snapToGrid/>
          <w:sz w:val="32"/>
          <w:szCs w:val="32"/>
          <w:lang w:val="en-US" w:eastAsia="zh-CN" w:bidi="en-US"/>
        </w:rPr>
        <w:t>%；项目支出</w:t>
      </w:r>
      <w:r>
        <w:rPr>
          <w:rFonts w:hint="eastAsia" w:ascii="Times New Roman" w:hAnsi="Times New Roman" w:eastAsia="仿宋_GB2312" w:cs="Times New Roman"/>
          <w:snapToGrid/>
          <w:sz w:val="32"/>
          <w:szCs w:val="32"/>
          <w:lang w:val="en-US" w:eastAsia="zh-CN" w:bidi="en-US"/>
        </w:rPr>
        <w:t>440.00</w:t>
      </w:r>
      <w:r>
        <w:rPr>
          <w:rFonts w:hint="default" w:ascii="Times New Roman" w:hAnsi="Times New Roman" w:eastAsia="仿宋_GB2312" w:cs="Times New Roman"/>
          <w:snapToGrid/>
          <w:sz w:val="32"/>
          <w:szCs w:val="32"/>
          <w:lang w:val="en-US" w:eastAsia="zh-CN" w:bidi="en-US"/>
        </w:rPr>
        <w:t>万元，</w:t>
      </w:r>
      <w:r>
        <w:rPr>
          <w:rFonts w:hint="eastAsia" w:ascii="Times New Roman" w:hAnsi="Times New Roman" w:eastAsia="仿宋_GB2312" w:cs="Times New Roman"/>
          <w:snapToGrid/>
          <w:sz w:val="32"/>
          <w:szCs w:val="32"/>
          <w:lang w:val="en-US" w:eastAsia="zh-CN" w:bidi="en-US"/>
        </w:rPr>
        <w:t>主要包括其他运转类、特定目标类，</w:t>
      </w:r>
      <w:r>
        <w:rPr>
          <w:rFonts w:hint="default" w:ascii="Times New Roman" w:hAnsi="Times New Roman" w:eastAsia="仿宋_GB2312" w:cs="Times New Roman"/>
          <w:snapToGrid/>
          <w:sz w:val="32"/>
          <w:szCs w:val="32"/>
          <w:lang w:val="en-US" w:eastAsia="zh-CN" w:bidi="en-US"/>
        </w:rPr>
        <w:t>占</w:t>
      </w:r>
      <w:r>
        <w:rPr>
          <w:rFonts w:hint="eastAsia" w:ascii="Times New Roman" w:hAnsi="Times New Roman" w:eastAsia="仿宋_GB2312" w:cs="Times New Roman"/>
          <w:snapToGrid/>
          <w:sz w:val="32"/>
          <w:szCs w:val="32"/>
          <w:lang w:val="en-US" w:eastAsia="zh-CN" w:bidi="en-US"/>
        </w:rPr>
        <w:t>68</w:t>
      </w:r>
      <w:r>
        <w:rPr>
          <w:rFonts w:hint="default" w:ascii="Times New Roman" w:hAnsi="Times New Roman" w:eastAsia="仿宋_GB2312" w:cs="Times New Roman"/>
          <w:snapToGrid/>
          <w:sz w:val="32"/>
          <w:szCs w:val="32"/>
          <w:lang w:val="en-US" w:eastAsia="zh-CN" w:bidi="en-US"/>
        </w:rPr>
        <w:t>%。</w:t>
      </w:r>
    </w:p>
    <w:p>
      <w:pPr>
        <w:keepNext w:val="0"/>
        <w:keepLines w:val="0"/>
        <w:pageBreakBefore w:val="0"/>
        <w:widowControl/>
        <w:wordWrap/>
        <w:topLinePunct w:val="0"/>
        <w:bidi w:val="0"/>
        <w:spacing w:before="1" w:line="580" w:lineRule="exact"/>
        <w:ind w:left="658"/>
        <w:outlineLvl w:val="1"/>
        <w:rPr>
          <w:rFonts w:ascii="黑体" w:hAnsi="黑体" w:eastAsia="黑体" w:cs="黑体"/>
          <w:sz w:val="31"/>
          <w:szCs w:val="31"/>
        </w:rPr>
      </w:pPr>
      <w:r>
        <w:rPr>
          <w:rFonts w:ascii="黑体" w:hAnsi="黑体" w:eastAsia="黑体" w:cs="黑体"/>
          <w:spacing w:val="16"/>
          <w:sz w:val="31"/>
          <w:szCs w:val="31"/>
        </w:rPr>
        <w:t>六</w:t>
      </w:r>
      <w:r>
        <w:rPr>
          <w:rFonts w:ascii="黑体" w:hAnsi="黑体" w:eastAsia="黑体" w:cs="黑体"/>
          <w:spacing w:val="8"/>
          <w:sz w:val="31"/>
          <w:szCs w:val="31"/>
        </w:rPr>
        <w:t>、</w:t>
      </w:r>
      <w:r>
        <w:rPr>
          <w:rFonts w:ascii="Times New Roman" w:hAnsi="Times New Roman" w:eastAsia="黑体" w:cs="Times New Roman"/>
          <w:sz w:val="32"/>
          <w:szCs w:val="32"/>
        </w:rPr>
        <w:t>一般公共预算基本支出预算情况说明</w:t>
      </w:r>
    </w:p>
    <w:p>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napToGrid/>
          <w:sz w:val="32"/>
          <w:szCs w:val="32"/>
          <w:lang w:val="en-US" w:eastAsia="zh-CN"/>
        </w:rPr>
      </w:pPr>
      <w:r>
        <w:rPr>
          <w:rFonts w:hint="eastAsia" w:ascii="Times New Roman" w:hAnsi="Times New Roman" w:eastAsia="仿宋_GB2312" w:cs="Times New Roman"/>
          <w:snapToGrid/>
          <w:sz w:val="32"/>
          <w:szCs w:val="32"/>
          <w:lang w:val="en-US" w:eastAsia="zh-CN"/>
        </w:rPr>
        <w:t>鹤壁市鹤山区工业化信息化局 2023 年一般公共预算基本支出年初预算为 207.03万元。其中：人员经费支出203.35万元，主要包括：退休费、奖金、其他社会保障缴费、基本工资、绩效工资、其他工资福利支出、津贴补贴、其他对个人和家庭的补助、城镇职工基本医疗保险缴费、机关事业单位基本养老保险缴费、住房公积金、其他交通费用，占 98.22%；公用经费支出 3.69万元，主要包括：公车运行维护费、办公费，占 1.78%。</w:t>
      </w:r>
    </w:p>
    <w:p>
      <w:pPr>
        <w:keepNext w:val="0"/>
        <w:keepLines w:val="0"/>
        <w:pageBreakBefore w:val="0"/>
        <w:widowControl/>
        <w:wordWrap/>
        <w:topLinePunct w:val="0"/>
        <w:bidi w:val="0"/>
        <w:spacing w:before="1" w:line="580" w:lineRule="exact"/>
        <w:ind w:left="646"/>
        <w:outlineLvl w:val="1"/>
        <w:rPr>
          <w:rFonts w:ascii="黑体" w:hAnsi="黑体" w:eastAsia="黑体" w:cs="黑体"/>
          <w:color w:val="auto"/>
          <w:sz w:val="31"/>
          <w:szCs w:val="31"/>
        </w:rPr>
      </w:pPr>
      <w:r>
        <w:rPr>
          <w:rFonts w:ascii="黑体" w:hAnsi="黑体" w:eastAsia="黑体" w:cs="黑体"/>
          <w:color w:val="auto"/>
          <w:spacing w:val="-4"/>
          <w:sz w:val="31"/>
          <w:szCs w:val="31"/>
        </w:rPr>
        <w:t>七、</w:t>
      </w:r>
      <w:r>
        <w:rPr>
          <w:rFonts w:eastAsia="黑体"/>
          <w:color w:val="auto"/>
          <w:sz w:val="32"/>
          <w:szCs w:val="32"/>
        </w:rPr>
        <w:t>一般公共预算</w:t>
      </w:r>
      <w:r>
        <w:rPr>
          <w:rFonts w:eastAsia="黑体"/>
          <w:color w:val="auto"/>
          <w:sz w:val="32"/>
          <w:szCs w:val="32"/>
          <w:lang w:val="zh-CN" w:eastAsia="zh-CN" w:bidi="zh-CN"/>
        </w:rPr>
        <w:t>“三</w:t>
      </w:r>
      <w:r>
        <w:rPr>
          <w:rFonts w:eastAsia="黑体"/>
          <w:color w:val="auto"/>
          <w:sz w:val="32"/>
          <w:szCs w:val="32"/>
        </w:rPr>
        <w:t>公”经费预算情况说明</w:t>
      </w:r>
    </w:p>
    <w:p>
      <w:pPr>
        <w:keepNext w:val="0"/>
        <w:keepLines w:val="0"/>
        <w:pageBreakBefore w:val="0"/>
        <w:widowControl/>
        <w:wordWrap/>
        <w:overflowPunct w:val="0"/>
        <w:topLinePunct w:val="0"/>
        <w:bidi w:val="0"/>
        <w:spacing w:line="580" w:lineRule="exact"/>
        <w:ind w:firstLine="640" w:firstLineChars="200"/>
        <w:rPr>
          <w:rFonts w:hint="eastAsia" w:ascii="Times New Roman" w:hAnsi="Times New Roman" w:eastAsia="仿宋_GB2312" w:cs="Times New Roman"/>
          <w:snapToGrid/>
          <w:color w:val="auto"/>
          <w:sz w:val="32"/>
          <w:szCs w:val="32"/>
          <w:lang w:val="en-US" w:eastAsia="zh-CN" w:bidi="en-US"/>
        </w:rPr>
      </w:pPr>
      <w:r>
        <w:rPr>
          <w:rFonts w:hint="eastAsia" w:ascii="Times New Roman" w:hAnsi="Times New Roman" w:eastAsia="仿宋_GB2312" w:cs="Times New Roman"/>
          <w:snapToGrid/>
          <w:color w:val="auto"/>
          <w:sz w:val="32"/>
          <w:szCs w:val="32"/>
          <w:lang w:val="en-US" w:eastAsia="zh-CN" w:bidi="en-US"/>
        </w:rPr>
        <w:t>鹤壁市鹤山区工业化信息化局 2023 年“三公”经费支出预算为3.51万元。2023 年“三公”经费支出预算数比 2022年减少0.19万元。</w:t>
      </w:r>
    </w:p>
    <w:p>
      <w:pPr>
        <w:keepNext w:val="0"/>
        <w:keepLines w:val="0"/>
        <w:pageBreakBefore w:val="0"/>
        <w:widowControl/>
        <w:wordWrap/>
        <w:overflowPunct w:val="0"/>
        <w:topLinePunct w:val="0"/>
        <w:bidi w:val="0"/>
        <w:spacing w:line="58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snapToGrid/>
          <w:color w:val="auto"/>
          <w:sz w:val="32"/>
          <w:szCs w:val="32"/>
          <w:lang w:val="en-US" w:eastAsia="zh-CN" w:bidi="en-US"/>
        </w:rPr>
        <w:t>具体支出情况如下：</w:t>
      </w:r>
    </w:p>
    <w:p>
      <w:pPr>
        <w:pStyle w:val="11"/>
        <w:keepNext w:val="0"/>
        <w:keepLines w:val="0"/>
        <w:pageBreakBefore w:val="0"/>
        <w:widowControl w:val="0"/>
        <w:tabs>
          <w:tab w:val="left" w:pos="1616"/>
        </w:tabs>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napToGrid/>
          <w:color w:val="auto"/>
          <w:sz w:val="32"/>
          <w:szCs w:val="32"/>
          <w:highlight w:val="none"/>
        </w:rPr>
      </w:pPr>
      <w:bookmarkStart w:id="8" w:name="bookmark32"/>
      <w:r>
        <w:rPr>
          <w:rFonts w:ascii="Times New Roman" w:hAnsi="Times New Roman" w:eastAsia="楷体_GB2312" w:cs="Times New Roman"/>
          <w:snapToGrid/>
          <w:color w:val="auto"/>
          <w:sz w:val="32"/>
          <w:szCs w:val="32"/>
          <w:highlight w:val="none"/>
        </w:rPr>
        <w:t>（</w:t>
      </w:r>
      <w:bookmarkEnd w:id="8"/>
      <w:r>
        <w:rPr>
          <w:rFonts w:ascii="Times New Roman" w:hAnsi="Times New Roman" w:eastAsia="楷体_GB2312" w:cs="Times New Roman"/>
          <w:snapToGrid/>
          <w:color w:val="auto"/>
          <w:sz w:val="32"/>
          <w:szCs w:val="32"/>
          <w:highlight w:val="none"/>
        </w:rPr>
        <w:t>一）</w:t>
      </w:r>
      <w:r>
        <w:rPr>
          <w:rFonts w:ascii="Times New Roman" w:hAnsi="Times New Roman" w:eastAsia="仿宋_GB2312"/>
          <w:sz w:val="32"/>
          <w:szCs w:val="32"/>
          <w:highlight w:val="none"/>
        </w:rPr>
        <w:t>因公出国（境）费</w:t>
      </w:r>
      <w:r>
        <w:rPr>
          <w:rFonts w:hint="eastAsia" w:ascii="Times New Roman" w:hAnsi="Times New Roman" w:eastAsia="仿宋_GB2312"/>
          <w:sz w:val="32"/>
          <w:szCs w:val="32"/>
          <w:highlight w:val="none"/>
          <w:lang w:val="en-US" w:eastAsia="zh-CN"/>
        </w:rPr>
        <w:t>0.0</w:t>
      </w:r>
      <w:r>
        <w:rPr>
          <w:rFonts w:ascii="Times New Roman" w:hAnsi="Times New Roman" w:eastAsia="仿宋_GB2312"/>
          <w:sz w:val="32"/>
          <w:szCs w:val="32"/>
          <w:highlight w:val="none"/>
        </w:rPr>
        <w:t>万元</w:t>
      </w:r>
      <w:r>
        <w:rPr>
          <w:rFonts w:ascii="Times New Roman" w:hAnsi="Times New Roman" w:eastAsia="仿宋_GB2312" w:cs="Times New Roman"/>
          <w:sz w:val="32"/>
          <w:szCs w:val="32"/>
          <w:highlight w:val="none"/>
        </w:rPr>
        <w:t>，主要用于单位工作人员公务出国（境）的住宿费、旅费、伙食补助费、杂费、 培训费等支出。</w:t>
      </w:r>
      <w:r>
        <w:rPr>
          <w:rFonts w:ascii="Times New Roman" w:hAnsi="Times New Roman" w:eastAsia="仿宋_GB2312" w:cs="Times New Roman"/>
          <w:sz w:val="32"/>
          <w:szCs w:val="32"/>
          <w:highlight w:val="none"/>
          <w:lang w:eastAsia="zh-CN"/>
        </w:rPr>
        <w:t>预算数与</w:t>
      </w:r>
      <w:r>
        <w:rPr>
          <w:rFonts w:ascii="Times New Roman" w:hAnsi="Times New Roman" w:eastAsia="仿宋_GB2312" w:cs="Times New Roman"/>
          <w:sz w:val="32"/>
          <w:szCs w:val="32"/>
          <w:highlight w:val="none"/>
          <w:lang w:val="en-US" w:eastAsia="zh-CN"/>
        </w:rPr>
        <w:t>20</w:t>
      </w:r>
      <w:r>
        <w:rPr>
          <w:rFonts w:hint="eastAsia" w:ascii="Times New Roman" w:hAnsi="Times New Roman" w:eastAsia="仿宋_GB2312" w:cs="Times New Roman"/>
          <w:sz w:val="32"/>
          <w:szCs w:val="32"/>
          <w:highlight w:val="none"/>
          <w:lang w:val="en-US" w:eastAsia="zh-CN"/>
        </w:rPr>
        <w:t>22</w:t>
      </w:r>
      <w:r>
        <w:rPr>
          <w:rFonts w:ascii="Times New Roman" w:hAnsi="Times New Roman" w:eastAsia="仿宋_GB2312" w:cs="Times New Roman"/>
          <w:sz w:val="32"/>
          <w:szCs w:val="32"/>
          <w:highlight w:val="none"/>
          <w:lang w:val="en-US" w:eastAsia="zh-CN"/>
        </w:rPr>
        <w:t>年保持一致。</w:t>
      </w:r>
      <w:r>
        <w:rPr>
          <w:rFonts w:hint="eastAsia" w:ascii="Times New Roman" w:hAnsi="Times New Roman" w:eastAsia="仿宋_GB2312" w:cs="Times New Roman"/>
          <w:sz w:val="32"/>
          <w:szCs w:val="32"/>
          <w:highlight w:val="none"/>
          <w:lang w:val="en-US" w:eastAsia="zh-CN"/>
        </w:rPr>
        <w:t>主要原因：2023年未安排出国经费预算</w:t>
      </w:r>
      <w:r>
        <w:rPr>
          <w:rFonts w:hint="default" w:ascii="Times New Roman" w:hAnsi="Times New Roman" w:eastAsia="仿宋_GB2312" w:cs="Times New Roman"/>
          <w:snapToGrid/>
          <w:color w:val="auto"/>
          <w:sz w:val="32"/>
          <w:szCs w:val="32"/>
          <w:highlight w:val="none"/>
        </w:rPr>
        <w:t>。</w:t>
      </w:r>
    </w:p>
    <w:p>
      <w:pPr>
        <w:pStyle w:val="11"/>
        <w:keepNext w:val="0"/>
        <w:keepLines w:val="0"/>
        <w:pageBreakBefore w:val="0"/>
        <w:widowControl w:val="0"/>
        <w:tabs>
          <w:tab w:val="left" w:pos="1616"/>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eastAsia="zh-CN"/>
        </w:rPr>
      </w:pPr>
      <w:bookmarkStart w:id="9" w:name="bookmark33"/>
      <w:r>
        <w:rPr>
          <w:rFonts w:ascii="Times New Roman" w:hAnsi="Times New Roman" w:eastAsia="楷体_GB2312" w:cs="Times New Roman"/>
          <w:color w:val="auto"/>
          <w:sz w:val="32"/>
          <w:szCs w:val="32"/>
          <w:highlight w:val="none"/>
        </w:rPr>
        <w:t>（</w:t>
      </w:r>
      <w:bookmarkEnd w:id="9"/>
      <w:r>
        <w:rPr>
          <w:rFonts w:ascii="Times New Roman" w:hAnsi="Times New Roman" w:eastAsia="楷体_GB2312" w:cs="Times New Roman"/>
          <w:color w:val="auto"/>
          <w:sz w:val="32"/>
          <w:szCs w:val="32"/>
          <w:highlight w:val="none"/>
        </w:rPr>
        <w:t>二）公务接待费</w:t>
      </w:r>
      <w:r>
        <w:rPr>
          <w:rFonts w:hint="eastAsia" w:ascii="Times New Roman" w:hAnsi="Times New Roman" w:eastAsia="仿宋_GB2312" w:cs="Times New Roman"/>
          <w:color w:val="auto"/>
          <w:sz w:val="32"/>
          <w:szCs w:val="32"/>
          <w:highlight w:val="none"/>
          <w:lang w:val="en-US" w:eastAsia="zh-CN" w:bidi="en-US"/>
        </w:rPr>
        <w:t>0.13</w:t>
      </w:r>
      <w:r>
        <w:rPr>
          <w:rFonts w:hint="default" w:ascii="Times New Roman" w:hAnsi="Times New Roman" w:eastAsia="仿宋_GB2312" w:cs="Times New Roman"/>
          <w:color w:val="auto"/>
          <w:sz w:val="32"/>
          <w:szCs w:val="32"/>
          <w:highlight w:val="none"/>
        </w:rPr>
        <w:t>万元，</w:t>
      </w:r>
      <w:r>
        <w:rPr>
          <w:rFonts w:ascii="Times New Roman" w:hAnsi="Times New Roman" w:eastAsia="仿宋_GB2312" w:cs="Times New Roman"/>
          <w:sz w:val="32"/>
          <w:szCs w:val="32"/>
        </w:rPr>
        <w:t>主要用于按规定开支的各类公务接待（含外宾接待）支出。</w:t>
      </w:r>
      <w:r>
        <w:rPr>
          <w:rFonts w:ascii="Times New Roman" w:hAnsi="Times New Roman" w:eastAsia="仿宋_GB2312" w:cs="Times New Roman"/>
          <w:sz w:val="32"/>
          <w:szCs w:val="32"/>
          <w:highlight w:val="none"/>
        </w:rPr>
        <w:t>预算数</w:t>
      </w:r>
      <w:r>
        <w:rPr>
          <w:rFonts w:ascii="Times New Roman" w:hAnsi="Times New Roman" w:eastAsia="仿宋_GB2312" w:cs="Times New Roman"/>
          <w:sz w:val="32"/>
          <w:szCs w:val="32"/>
          <w:highlight w:val="none"/>
          <w:lang w:eastAsia="zh-CN"/>
        </w:rPr>
        <w:t>比</w:t>
      </w: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年减少</w:t>
      </w:r>
      <w:r>
        <w:rPr>
          <w:rFonts w:hint="eastAsia" w:ascii="Times New Roman" w:hAnsi="Times New Roman" w:eastAsia="仿宋_GB2312" w:cs="Times New Roman"/>
          <w:sz w:val="32"/>
          <w:szCs w:val="32"/>
          <w:highlight w:val="none"/>
          <w:lang w:val="en-US" w:eastAsia="zh-CN"/>
        </w:rPr>
        <w:t>0.01</w:t>
      </w:r>
      <w:r>
        <w:rPr>
          <w:rFonts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rPr>
        <w:t>主要原因：</w:t>
      </w:r>
      <w:r>
        <w:rPr>
          <w:rFonts w:hint="eastAsia" w:ascii="Times New Roman" w:hAnsi="Times New Roman" w:eastAsia="仿宋_GB2312" w:cs="Times New Roman"/>
          <w:color w:val="auto"/>
          <w:sz w:val="32"/>
          <w:szCs w:val="32"/>
          <w:highlight w:val="none"/>
          <w:lang w:val="en-US" w:eastAsia="zh-CN"/>
        </w:rPr>
        <w:t>严格执行中央八项规定，</w:t>
      </w:r>
      <w:r>
        <w:rPr>
          <w:rFonts w:ascii="Times New Roman" w:hAnsi="Times New Roman" w:eastAsia="仿宋_GB2312"/>
          <w:color w:val="auto"/>
          <w:sz w:val="32"/>
          <w:szCs w:val="32"/>
          <w:highlight w:val="none"/>
        </w:rPr>
        <w:t>履行勤俭节约，缩减日常运行开支</w:t>
      </w:r>
      <w:r>
        <w:rPr>
          <w:rFonts w:hint="eastAsia" w:ascii="Times New Roman" w:hAnsi="Times New Roman"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auto"/>
          <w:sz w:val="32"/>
          <w:szCs w:val="32"/>
          <w:highlight w:val="none"/>
          <w:lang w:val="en-US" w:eastAsia="zh-CN"/>
        </w:rPr>
      </w:pPr>
      <w:bookmarkStart w:id="10" w:name="bookmark34"/>
      <w:r>
        <w:rPr>
          <w:rFonts w:ascii="Times New Roman" w:hAnsi="Times New Roman" w:eastAsia="楷体_GB2312" w:cs="Times New Roman"/>
          <w:color w:val="auto"/>
          <w:sz w:val="32"/>
          <w:szCs w:val="32"/>
          <w:highlight w:val="none"/>
        </w:rPr>
        <w:t>（</w:t>
      </w:r>
      <w:bookmarkEnd w:id="10"/>
      <w:r>
        <w:rPr>
          <w:rFonts w:ascii="Times New Roman" w:hAnsi="Times New Roman" w:eastAsia="楷体_GB2312" w:cs="Times New Roman"/>
          <w:color w:val="auto"/>
          <w:sz w:val="32"/>
          <w:szCs w:val="32"/>
          <w:highlight w:val="none"/>
        </w:rPr>
        <w:t>三）公务用车购置及运行费</w:t>
      </w:r>
      <w:r>
        <w:rPr>
          <w:rFonts w:hint="eastAsia" w:ascii="Times New Roman" w:hAnsi="Times New Roman" w:eastAsia="仿宋_GB2312" w:cs="Times New Roman"/>
          <w:color w:val="auto"/>
          <w:sz w:val="32"/>
          <w:szCs w:val="32"/>
          <w:highlight w:val="none"/>
          <w:lang w:val="en-US" w:eastAsia="zh-CN"/>
        </w:rPr>
        <w:t>3.38</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sz w:val="32"/>
          <w:szCs w:val="32"/>
          <w:highlight w:val="none"/>
          <w:lang w:val="en-US" w:eastAsia="zh-CN"/>
        </w:rPr>
        <w:t>无公务用车购置费</w:t>
      </w:r>
      <w:r>
        <w:rPr>
          <w:rFonts w:ascii="Times New Roman" w:hAnsi="Times New Roman" w:eastAsia="仿宋_GB2312"/>
          <w:sz w:val="32"/>
          <w:szCs w:val="32"/>
          <w:highlight w:val="none"/>
        </w:rPr>
        <w:t>；</w:t>
      </w:r>
      <w:r>
        <w:rPr>
          <w:rFonts w:ascii="Times New Roman" w:hAnsi="Times New Roman" w:eastAsia="仿宋_GB2312" w:cs="Times New Roman"/>
          <w:sz w:val="32"/>
          <w:szCs w:val="32"/>
          <w:highlight w:val="none"/>
        </w:rPr>
        <w:t>公务用车运行维护费</w:t>
      </w:r>
      <w:r>
        <w:rPr>
          <w:rFonts w:hint="eastAsia" w:ascii="Times New Roman" w:hAnsi="Times New Roman" w:eastAsia="仿宋_GB2312" w:cs="Times New Roman"/>
          <w:sz w:val="32"/>
          <w:szCs w:val="32"/>
          <w:highlight w:val="none"/>
          <w:lang w:val="en-US" w:eastAsia="zh-CN" w:bidi="en-US"/>
        </w:rPr>
        <w:t>3.38</w:t>
      </w:r>
      <w:r>
        <w:rPr>
          <w:rFonts w:ascii="Times New Roman" w:hAnsi="Times New Roman" w:eastAsia="仿宋_GB2312" w:cs="Times New Roman"/>
          <w:sz w:val="32"/>
          <w:szCs w:val="32"/>
          <w:highlight w:val="none"/>
        </w:rPr>
        <w:t>万元，主</w:t>
      </w:r>
      <w:r>
        <w:rPr>
          <w:rFonts w:ascii="Times New Roman" w:hAnsi="Times New Roman" w:eastAsia="仿宋_GB2312" w:cs="Times New Roman"/>
          <w:sz w:val="32"/>
          <w:szCs w:val="32"/>
        </w:rPr>
        <w:t>要用于开展工作 所需公务用车的燃料费、维修费、过路过桥费、保险费、安全奖励费用等支出</w:t>
      </w:r>
      <w:r>
        <w:rPr>
          <w:rFonts w:ascii="Times New Roman" w:hAnsi="Times New Roman" w:eastAsia="仿宋_GB2312" w:cs="Times New Roman"/>
          <w:sz w:val="32"/>
          <w:szCs w:val="32"/>
          <w:highlight w:val="none"/>
        </w:rPr>
        <w:t>。预算数</w:t>
      </w:r>
      <w:r>
        <w:rPr>
          <w:rFonts w:ascii="Times New Roman" w:hAnsi="Times New Roman" w:eastAsia="仿宋_GB2312" w:cs="Times New Roman"/>
          <w:sz w:val="32"/>
          <w:szCs w:val="32"/>
          <w:highlight w:val="none"/>
          <w:lang w:eastAsia="zh-CN"/>
        </w:rPr>
        <w:t>比</w:t>
      </w: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年减少</w:t>
      </w:r>
      <w:r>
        <w:rPr>
          <w:rFonts w:hint="eastAsia" w:ascii="Times New Roman" w:hAnsi="Times New Roman" w:eastAsia="仿宋_GB2312" w:cs="Times New Roman"/>
          <w:sz w:val="32"/>
          <w:szCs w:val="32"/>
          <w:highlight w:val="none"/>
          <w:lang w:val="en-US" w:eastAsia="zh-CN"/>
        </w:rPr>
        <w:t>0.18</w:t>
      </w:r>
      <w:r>
        <w:rPr>
          <w:rFonts w:ascii="Times New Roman" w:hAnsi="Times New Roman" w:eastAsia="仿宋_GB2312" w:cs="Times New Roman"/>
          <w:sz w:val="32"/>
          <w:szCs w:val="32"/>
          <w:highlight w:val="none"/>
          <w:lang w:val="en-US" w:eastAsia="zh-CN"/>
        </w:rPr>
        <w:t>万元，</w:t>
      </w:r>
      <w:r>
        <w:rPr>
          <w:rFonts w:hint="default" w:ascii="Times New Roman" w:hAnsi="Times New Roman" w:eastAsia="仿宋_GB2312" w:cs="Times New Roman"/>
          <w:color w:val="auto"/>
          <w:sz w:val="32"/>
          <w:szCs w:val="32"/>
          <w:highlight w:val="none"/>
          <w:lang w:eastAsia="zh-CN"/>
        </w:rPr>
        <w:t>主要原因：</w:t>
      </w:r>
      <w:r>
        <w:rPr>
          <w:rFonts w:hint="eastAsia" w:ascii="Times New Roman" w:hAnsi="Times New Roman" w:eastAsia="仿宋_GB2312" w:cs="Times New Roman"/>
          <w:color w:val="auto"/>
          <w:sz w:val="32"/>
          <w:szCs w:val="32"/>
          <w:highlight w:val="none"/>
          <w:lang w:val="en-US" w:eastAsia="zh-CN"/>
        </w:rPr>
        <w:t>本着节能减排原则，日常执行绿色低碳出行制度，压减车辆运行支出。</w:t>
      </w:r>
    </w:p>
    <w:p>
      <w:pPr>
        <w:pStyle w:val="11"/>
        <w:keepNext w:val="0"/>
        <w:keepLines w:val="0"/>
        <w:pageBreakBefore w:val="0"/>
        <w:widowControl/>
        <w:tabs>
          <w:tab w:val="left" w:pos="1270"/>
        </w:tabs>
        <w:wordWrap/>
        <w:topLinePunct w:val="0"/>
        <w:bidi w:val="0"/>
        <w:spacing w:line="580" w:lineRule="exact"/>
        <w:ind w:firstLine="640"/>
        <w:jc w:val="both"/>
        <w:rPr>
          <w:rFonts w:ascii="Times New Roman" w:hAnsi="Times New Roman" w:eastAsia="黑体" w:cs="Times New Roman"/>
          <w:sz w:val="32"/>
          <w:szCs w:val="32"/>
          <w:highlight w:val="cyan"/>
        </w:rPr>
      </w:pPr>
      <w:r>
        <w:rPr>
          <w:rFonts w:hint="eastAsia" w:ascii="黑体" w:hAnsi="黑体" w:eastAsia="黑体" w:cs="黑体"/>
          <w:sz w:val="32"/>
          <w:szCs w:val="32"/>
        </w:rPr>
        <w:t>八、</w:t>
      </w:r>
      <w:r>
        <w:rPr>
          <w:rFonts w:ascii="Times New Roman" w:hAnsi="Times New Roman" w:eastAsia="黑体" w:cs="Times New Roman"/>
          <w:sz w:val="32"/>
          <w:szCs w:val="32"/>
        </w:rPr>
        <w:t>政府性基金支出预算情况说明</w:t>
      </w:r>
    </w:p>
    <w:p>
      <w:pPr>
        <w:keepNext w:val="0"/>
        <w:keepLines w:val="0"/>
        <w:pageBreakBefore w:val="0"/>
        <w:widowControl/>
        <w:wordWrap/>
        <w:overflowPunct w:val="0"/>
        <w:topLinePunct w:val="0"/>
        <w:bidi w:val="0"/>
        <w:spacing w:line="580" w:lineRule="exact"/>
        <w:ind w:firstLine="640" w:firstLineChars="20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eastAsia="zh-CN"/>
        </w:rPr>
        <w:t>我</w:t>
      </w:r>
      <w:r>
        <w:rPr>
          <w:rFonts w:hint="eastAsia" w:ascii="Times New Roman" w:hAnsi="Times New Roman" w:eastAsia="仿宋_GB2312" w:cs="Times New Roman"/>
          <w:sz w:val="32"/>
          <w:szCs w:val="32"/>
          <w:lang w:eastAsia="zh-CN"/>
        </w:rPr>
        <w:t>部门</w:t>
      </w:r>
      <w:r>
        <w:rPr>
          <w:rFonts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eastAsia="zh-CN"/>
        </w:rPr>
        <w:t>3</w:t>
      </w:r>
      <w:r>
        <w:rPr>
          <w:rFonts w:ascii="Times New Roman" w:hAnsi="Times New Roman" w:eastAsia="仿宋_GB2312" w:cs="Times New Roman"/>
          <w:sz w:val="32"/>
          <w:szCs w:val="32"/>
          <w:lang w:eastAsia="zh-CN"/>
        </w:rPr>
        <w:t>年无使用政府性基金预算拨款安排的</w:t>
      </w:r>
      <w:r>
        <w:rPr>
          <w:rFonts w:hint="eastAsia" w:ascii="Times New Roman" w:hAnsi="Times New Roman" w:eastAsia="仿宋_GB2312" w:cs="Times New Roman"/>
          <w:sz w:val="32"/>
          <w:szCs w:val="32"/>
          <w:lang w:eastAsia="zh-CN"/>
        </w:rPr>
        <w:t>支</w:t>
      </w:r>
      <w:r>
        <w:rPr>
          <w:rFonts w:ascii="Times New Roman" w:hAnsi="Times New Roman" w:eastAsia="仿宋_GB2312" w:cs="Times New Roman"/>
          <w:sz w:val="32"/>
          <w:szCs w:val="32"/>
          <w:lang w:eastAsia="zh-CN"/>
        </w:rPr>
        <w:t>出</w:t>
      </w:r>
      <w:r>
        <w:rPr>
          <w:rFonts w:hint="eastAsia" w:ascii="Times New Roman" w:hAnsi="Times New Roman" w:eastAsia="仿宋_GB2312" w:cs="Times New Roman"/>
          <w:sz w:val="32"/>
          <w:szCs w:val="32"/>
          <w:lang w:eastAsia="zh-CN"/>
        </w:rPr>
        <w:t>。</w:t>
      </w:r>
    </w:p>
    <w:p>
      <w:pPr>
        <w:keepNext w:val="0"/>
        <w:keepLines w:val="0"/>
        <w:pageBreakBefore w:val="0"/>
        <w:widowControl/>
        <w:wordWrap/>
        <w:overflowPunct w:val="0"/>
        <w:topLinePunct w:val="0"/>
        <w:bidi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、其他重要事项情况说明</w:t>
      </w:r>
    </w:p>
    <w:p>
      <w:pPr>
        <w:keepNext w:val="0"/>
        <w:keepLines w:val="0"/>
        <w:pageBreakBefore w:val="0"/>
        <w:widowControl/>
        <w:wordWrap/>
        <w:overflowPunct w:val="0"/>
        <w:topLinePunct w:val="0"/>
        <w:bidi w:val="0"/>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一 ) 行政 (事业) 单位</w:t>
      </w:r>
      <w:r>
        <w:rPr>
          <w:rFonts w:hint="eastAsia" w:ascii="楷体_GB2312" w:hAnsi="楷体_GB2312" w:eastAsia="楷体_GB2312" w:cs="楷体_GB2312"/>
          <w:sz w:val="32"/>
          <w:szCs w:val="32"/>
          <w:lang w:val="en-US" w:eastAsia="zh-CN"/>
        </w:rPr>
        <w:t>机关运行经费</w:t>
      </w:r>
    </w:p>
    <w:p>
      <w:pPr>
        <w:keepNext w:val="0"/>
        <w:keepLines w:val="0"/>
        <w:pageBreakBefore w:val="0"/>
        <w:widowControl/>
        <w:wordWrap/>
        <w:overflowPunct w:val="0"/>
        <w:topLinePunct w:val="0"/>
        <w:bidi w:val="0"/>
        <w:spacing w:line="580" w:lineRule="exact"/>
        <w:ind w:firstLine="640" w:firstLineChars="200"/>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rPr>
        <w:t>鹤壁市鹤山区工业化信息化局机关202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机关运行经费</w:t>
      </w:r>
      <w:r>
        <w:rPr>
          <w:rFonts w:hint="default" w:ascii="Times New Roman" w:hAnsi="Times New Roman" w:eastAsia="仿宋_GB2312" w:cs="Times New Roman"/>
          <w:sz w:val="32"/>
          <w:szCs w:val="32"/>
        </w:rPr>
        <w:t>支出预算</w:t>
      </w:r>
      <w:r>
        <w:rPr>
          <w:rFonts w:hint="eastAsia" w:ascii="Times New Roman" w:hAnsi="Times New Roman" w:eastAsia="仿宋_GB2312" w:cs="Times New Roman"/>
          <w:sz w:val="32"/>
          <w:szCs w:val="32"/>
          <w:lang w:val="en-US" w:eastAsia="zh-CN"/>
        </w:rPr>
        <w:t>3.69</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主要保障机构正常运转及正常履职需要所需支出，包含公用经费、公务交通补贴、工会经费、职工福利费等。</w:t>
      </w:r>
    </w:p>
    <w:p>
      <w:pPr>
        <w:keepNext w:val="0"/>
        <w:keepLines w:val="0"/>
        <w:pageBreakBefore w:val="0"/>
        <w:widowControl/>
        <w:wordWrap/>
        <w:overflowPunct w:val="0"/>
        <w:topLinePunct w:val="0"/>
        <w:bidi w:val="0"/>
        <w:spacing w:line="580" w:lineRule="exact"/>
        <w:ind w:firstLine="640" w:firstLineChars="200"/>
        <w:rPr>
          <w:rFonts w:ascii="Times New Roman" w:hAnsi="Times New Roman" w:eastAsia="仿宋_GB2312" w:cs="Times New Roman"/>
          <w:b/>
          <w:bCs/>
          <w:sz w:val="32"/>
          <w:szCs w:val="32"/>
        </w:rPr>
      </w:pPr>
      <w:r>
        <w:rPr>
          <w:rFonts w:hint="eastAsia" w:ascii="楷体_GB2312" w:hAnsi="楷体_GB2312" w:eastAsia="楷体_GB2312" w:cs="楷体_GB2312"/>
          <w:sz w:val="32"/>
          <w:szCs w:val="32"/>
        </w:rPr>
        <w:t>( 二 ) 政府采购支出预算情况</w:t>
      </w:r>
    </w:p>
    <w:p>
      <w:pPr>
        <w:keepNext w:val="0"/>
        <w:keepLines w:val="0"/>
        <w:pageBreakBefore w:val="0"/>
        <w:widowControl/>
        <w:wordWrap/>
        <w:overflowPunct w:val="0"/>
        <w:topLinePunct w:val="0"/>
        <w:bidi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鹤壁市鹤山区</w:t>
      </w:r>
      <w:r>
        <w:rPr>
          <w:rFonts w:hint="default" w:ascii="Times New Roman" w:hAnsi="Times New Roman" w:eastAsia="仿宋_GB2312" w:cs="Times New Roman"/>
          <w:sz w:val="32"/>
          <w:szCs w:val="32"/>
        </w:rPr>
        <w:t>工业化信息化局</w:t>
      </w:r>
      <w:r>
        <w:rPr>
          <w:rFonts w:ascii="Times New Roman" w:hAnsi="Times New Roman" w:eastAsia="仿宋_GB2312" w:cs="Times New Roman"/>
          <w:sz w:val="32"/>
          <w:szCs w:val="32"/>
        </w:rPr>
        <w:t>202</w:t>
      </w:r>
      <w:r>
        <w:rPr>
          <w:rFonts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无政府采购预算安排</w:t>
      </w:r>
    </w:p>
    <w:p>
      <w:pPr>
        <w:keepNext w:val="0"/>
        <w:keepLines w:val="0"/>
        <w:pageBreakBefore w:val="0"/>
        <w:widowControl/>
        <w:wordWrap/>
        <w:overflowPunct w:val="0"/>
        <w:topLinePunct w:val="0"/>
        <w:bidi w:val="0"/>
        <w:spacing w:line="58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（三）绩效目标设置情况</w:t>
      </w:r>
    </w:p>
    <w:p>
      <w:pPr>
        <w:keepNext w:val="0"/>
        <w:keepLines w:val="0"/>
        <w:pageBreakBefore w:val="0"/>
        <w:widowControl/>
        <w:wordWrap/>
        <w:overflowPunct w:val="0"/>
        <w:topLinePunct w:val="0"/>
        <w:bidi w:val="0"/>
        <w:spacing w:line="58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我部门2023年预算项目均按要求编制了绩效目标，从项目产出 、项目效益、满意度等方面设置了绩效指标，综合反映项目预期 完成的数量、实效、质量，预期达到的社会经济效益、可持续影 响以及服务对象满意度等情况。2023年，我部门纳入预算绩效管理的支出总额为647.03万元。其中：人员经费支出203.35万元；公用经费支出3.69万元；项目支出440.00万元。</w:t>
      </w:r>
    </w:p>
    <w:p>
      <w:pPr>
        <w:keepNext w:val="0"/>
        <w:keepLines w:val="0"/>
        <w:pageBreakBefore w:val="0"/>
        <w:widowControl/>
        <w:wordWrap/>
        <w:overflowPunct w:val="0"/>
        <w:topLinePunct w:val="0"/>
        <w:bidi w:val="0"/>
        <w:spacing w:line="58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（四）国有资产占用情况</w:t>
      </w:r>
    </w:p>
    <w:p>
      <w:pPr>
        <w:keepNext w:val="0"/>
        <w:keepLines w:val="0"/>
        <w:pageBreakBefore w:val="0"/>
        <w:widowControl/>
        <w:numPr>
          <w:ilvl w:val="0"/>
          <w:numId w:val="0"/>
        </w:numPr>
        <w:wordWrap/>
        <w:overflowPunct w:val="0"/>
        <w:topLinePunct w:val="0"/>
        <w:bidi w:val="0"/>
        <w:spacing w:line="580" w:lineRule="exact"/>
        <w:rPr>
          <w:rFonts w:hint="default" w:ascii="Times New Roman" w:hAnsi="Times New Roman" w:eastAsia="仿宋_GB2312" w:cs="Times New Roman"/>
          <w:color w:val="auto"/>
          <w:sz w:val="32"/>
          <w:szCs w:val="32"/>
          <w:highlight w:val="yellow"/>
          <w:lang w:val="en-US" w:eastAsia="zh-CN"/>
        </w:rPr>
      </w:pP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b w:val="0"/>
          <w:bCs w:val="0"/>
          <w:snapToGrid/>
          <w:color w:val="000000"/>
          <w:sz w:val="32"/>
          <w:szCs w:val="32"/>
          <w:highlight w:val="none"/>
          <w:lang w:val="en-US" w:eastAsia="zh-CN" w:bidi="zh-TW"/>
        </w:rPr>
        <w:t xml:space="preserve">   </w:t>
      </w:r>
      <w:r>
        <w:rPr>
          <w:rFonts w:hint="eastAsia" w:ascii="Times New Roman" w:hAnsi="Times New Roman" w:eastAsia="仿宋_GB2312" w:cs="Times New Roman"/>
          <w:b w:val="0"/>
          <w:bCs w:val="0"/>
          <w:snapToGrid/>
          <w:color w:val="000000"/>
          <w:sz w:val="32"/>
          <w:szCs w:val="32"/>
          <w:highlight w:val="none"/>
          <w:lang w:val="zh-TW" w:eastAsia="zh-TW" w:bidi="zh-TW"/>
        </w:rPr>
        <w:t>202</w:t>
      </w:r>
      <w:r>
        <w:rPr>
          <w:rFonts w:hint="eastAsia" w:ascii="Times New Roman" w:hAnsi="Times New Roman" w:eastAsia="仿宋_GB2312" w:cs="Times New Roman"/>
          <w:b w:val="0"/>
          <w:bCs w:val="0"/>
          <w:snapToGrid/>
          <w:color w:val="000000"/>
          <w:sz w:val="32"/>
          <w:szCs w:val="32"/>
          <w:highlight w:val="none"/>
          <w:lang w:val="en-US" w:eastAsia="zh-CN" w:bidi="zh-TW"/>
        </w:rPr>
        <w:t>3</w:t>
      </w:r>
      <w:r>
        <w:rPr>
          <w:rFonts w:hint="eastAsia" w:ascii="Times New Roman" w:hAnsi="Times New Roman" w:eastAsia="仿宋_GB2312" w:cs="Times New Roman"/>
          <w:b w:val="0"/>
          <w:bCs w:val="0"/>
          <w:snapToGrid/>
          <w:color w:val="000000"/>
          <w:sz w:val="32"/>
          <w:szCs w:val="32"/>
          <w:highlight w:val="none"/>
          <w:lang w:val="zh-TW" w:eastAsia="zh-TW" w:bidi="zh-TW"/>
        </w:rPr>
        <w:t>年期末，</w:t>
      </w:r>
      <w:r>
        <w:rPr>
          <w:rFonts w:hint="eastAsia" w:ascii="Times New Roman" w:hAnsi="Times New Roman" w:eastAsia="仿宋_GB2312" w:cs="Times New Roman"/>
          <w:b w:val="0"/>
          <w:bCs w:val="0"/>
          <w:snapToGrid/>
          <w:color w:val="000000"/>
          <w:sz w:val="32"/>
          <w:szCs w:val="32"/>
          <w:highlight w:val="none"/>
          <w:lang w:val="en-US" w:eastAsia="zh-CN" w:bidi="zh-TW"/>
        </w:rPr>
        <w:t>我部门</w:t>
      </w:r>
      <w:r>
        <w:rPr>
          <w:rFonts w:hint="eastAsia" w:ascii="Times New Roman" w:hAnsi="Times New Roman" w:eastAsia="仿宋_GB2312" w:cs="Times New Roman"/>
          <w:b w:val="0"/>
          <w:bCs w:val="0"/>
          <w:snapToGrid/>
          <w:color w:val="000000"/>
          <w:sz w:val="32"/>
          <w:szCs w:val="32"/>
          <w:highlight w:val="none"/>
          <w:lang w:val="zh-TW" w:eastAsia="zh-TW" w:bidi="zh-TW"/>
        </w:rPr>
        <w:t>固定资产总额</w:t>
      </w:r>
      <w:r>
        <w:rPr>
          <w:rFonts w:hint="eastAsia" w:ascii="Times New Roman" w:hAnsi="Times New Roman" w:eastAsia="仿宋_GB2312" w:cs="Times New Roman"/>
          <w:b w:val="0"/>
          <w:bCs w:val="0"/>
          <w:snapToGrid/>
          <w:color w:val="000000"/>
          <w:sz w:val="32"/>
          <w:szCs w:val="32"/>
          <w:highlight w:val="none"/>
          <w:lang w:val="en-US" w:eastAsia="zh-CN" w:bidi="zh-TW"/>
        </w:rPr>
        <w:t>45.3</w:t>
      </w:r>
      <w:r>
        <w:rPr>
          <w:rFonts w:hint="eastAsia" w:ascii="Times New Roman" w:hAnsi="Times New Roman" w:eastAsia="仿宋_GB2312" w:cs="Times New Roman"/>
          <w:b w:val="0"/>
          <w:bCs w:val="0"/>
          <w:snapToGrid/>
          <w:color w:val="000000"/>
          <w:sz w:val="32"/>
          <w:szCs w:val="32"/>
          <w:highlight w:val="none"/>
          <w:lang w:val="zh-TW" w:eastAsia="zh-TW" w:bidi="zh-TW"/>
        </w:rPr>
        <w:t>万元</w:t>
      </w:r>
      <w:r>
        <w:rPr>
          <w:rFonts w:ascii="Times New Roman" w:hAnsi="Times New Roman" w:eastAsia="仿宋_GB2312" w:cs="Times New Roman"/>
          <w:sz w:val="32"/>
          <w:szCs w:val="32"/>
          <w:highlight w:val="none"/>
        </w:rPr>
        <w:t>其中，房屋建筑物</w:t>
      </w:r>
      <w:r>
        <w:rPr>
          <w:rFonts w:hint="eastAsia" w:ascii="Times New Roman" w:hAnsi="Times New Roman" w:eastAsia="仿宋_GB2312" w:cs="Times New Roman"/>
          <w:sz w:val="32"/>
          <w:szCs w:val="32"/>
          <w:highlight w:val="none"/>
          <w:lang w:val="en-US" w:eastAsia="zh-CN"/>
        </w:rPr>
        <w:t>0.00</w:t>
      </w:r>
      <w:r>
        <w:rPr>
          <w:rFonts w:ascii="Times New Roman" w:hAnsi="Times New Roman" w:eastAsia="仿宋_GB2312" w:cs="Times New Roman"/>
          <w:sz w:val="32"/>
          <w:szCs w:val="32"/>
          <w:highlight w:val="none"/>
        </w:rPr>
        <w:t>万元，车辆</w:t>
      </w:r>
      <w:r>
        <w:rPr>
          <w:rFonts w:hint="eastAsia" w:ascii="Times New Roman" w:hAnsi="Times New Roman" w:eastAsia="仿宋_GB2312" w:cs="Times New Roman"/>
          <w:sz w:val="32"/>
          <w:szCs w:val="32"/>
          <w:highlight w:val="none"/>
          <w:lang w:val="en-US" w:eastAsia="zh-CN"/>
        </w:rPr>
        <w:t>0.00</w:t>
      </w:r>
      <w:r>
        <w:rPr>
          <w:rFonts w:ascii="Times New Roman" w:hAnsi="Times New Roman" w:eastAsia="仿宋_GB2312" w:cs="Times New Roman"/>
          <w:sz w:val="32"/>
          <w:szCs w:val="32"/>
          <w:highlight w:val="none"/>
        </w:rPr>
        <w:t>万元，办公设备</w:t>
      </w:r>
      <w:r>
        <w:rPr>
          <w:rFonts w:hint="eastAsia" w:ascii="Times New Roman" w:hAnsi="Times New Roman" w:eastAsia="仿宋_GB2312" w:cs="Times New Roman"/>
          <w:sz w:val="32"/>
          <w:szCs w:val="32"/>
          <w:highlight w:val="none"/>
          <w:lang w:val="en-US" w:eastAsia="zh-CN"/>
        </w:rPr>
        <w:t>45.3</w:t>
      </w:r>
      <w:r>
        <w:rPr>
          <w:rFonts w:ascii="Times New Roman" w:hAnsi="Times New Roman" w:eastAsia="仿宋_GB2312" w:cs="Times New Roman"/>
          <w:sz w:val="32"/>
          <w:szCs w:val="32"/>
          <w:highlight w:val="none"/>
        </w:rPr>
        <w:t>万元，专用设备</w:t>
      </w:r>
      <w:r>
        <w:rPr>
          <w:rFonts w:hint="eastAsia" w:ascii="Times New Roman" w:hAnsi="Times New Roman" w:eastAsia="仿宋_GB2312" w:cs="Times New Roman"/>
          <w:sz w:val="32"/>
          <w:szCs w:val="32"/>
          <w:highlight w:val="none"/>
          <w:lang w:val="en-US" w:eastAsia="zh-CN"/>
        </w:rPr>
        <w:t>0.00</w:t>
      </w:r>
      <w:r>
        <w:rPr>
          <w:rFonts w:ascii="Times New Roman" w:hAnsi="Times New Roman" w:eastAsia="仿宋_GB2312" w:cs="Times New Roman"/>
          <w:sz w:val="32"/>
          <w:szCs w:val="32"/>
          <w:highlight w:val="none"/>
        </w:rPr>
        <w:t>万元，其他财产</w:t>
      </w:r>
      <w:r>
        <w:rPr>
          <w:rFonts w:hint="eastAsia" w:ascii="Times New Roman" w:hAnsi="Times New Roman" w:eastAsia="仿宋_GB2312" w:cs="Times New Roman"/>
          <w:sz w:val="32"/>
          <w:szCs w:val="32"/>
          <w:highlight w:val="none"/>
          <w:lang w:val="en-US" w:eastAsia="zh-CN"/>
        </w:rPr>
        <w:t>0.00</w:t>
      </w:r>
      <w:r>
        <w:rPr>
          <w:rFonts w:ascii="Times New Roman" w:hAnsi="Times New Roman" w:eastAsia="仿宋_GB2312" w:cs="Times New Roman"/>
          <w:sz w:val="32"/>
          <w:szCs w:val="32"/>
          <w:highlight w:val="none"/>
        </w:rPr>
        <w:t>万元。</w:t>
      </w:r>
      <w:bookmarkStart w:id="11" w:name="_GoBack"/>
      <w:bookmarkEnd w:id="11"/>
    </w:p>
    <w:p>
      <w:pPr>
        <w:tabs>
          <w:tab w:val="left" w:pos="6300"/>
          <w:tab w:val="left" w:pos="6480"/>
          <w:tab w:val="left" w:pos="6840"/>
          <w:tab w:val="left" w:pos="7020"/>
          <w:tab w:val="left" w:pos="7380"/>
        </w:tabs>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s="Times New Roman"/>
          <w:sz w:val="32"/>
          <w:szCs w:val="32"/>
          <w:highlight w:val="none"/>
          <w:lang w:val="en-US" w:eastAsia="zh-CN"/>
        </w:rPr>
        <w:t>2023年期末，我部门共有车辆1辆，</w:t>
      </w:r>
      <w:r>
        <w:rPr>
          <w:rFonts w:ascii="Times New Roman" w:hAnsi="Times New Roman" w:eastAsia="仿宋_GB2312" w:cs="Times New Roman"/>
          <w:sz w:val="32"/>
          <w:szCs w:val="32"/>
          <w:highlight w:val="none"/>
        </w:rPr>
        <w:t>其中：一般公务用车</w:t>
      </w:r>
      <w:r>
        <w:rPr>
          <w:rFonts w:hint="eastAsia" w:ascii="Times New Roman" w:hAnsi="Times New Roman" w:eastAsia="仿宋_GB2312" w:cs="Times New Roman"/>
          <w:sz w:val="32"/>
          <w:szCs w:val="32"/>
          <w:highlight w:val="none"/>
          <w:lang w:val="en-US" w:eastAsia="zh-CN"/>
        </w:rPr>
        <w:t>1</w:t>
      </w:r>
      <w:r>
        <w:rPr>
          <w:rFonts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辆、一般执法执勤用车</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辆、其他用车</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辆，其他用车主要是机要通信用车</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辆、应急车辆</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辆、老干部用车</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辆</w:t>
      </w:r>
      <w:r>
        <w:rPr>
          <w:rFonts w:hint="eastAsia" w:ascii="Times New Roman" w:hAnsi="Times New Roman" w:eastAsia="仿宋_GB2312" w:cs="Times New Roman"/>
          <w:sz w:val="32"/>
          <w:szCs w:val="32"/>
          <w:highlight w:val="none"/>
          <w:lang w:eastAsia="zh-CN"/>
        </w:rPr>
        <w:t>；无</w:t>
      </w:r>
      <w:r>
        <w:rPr>
          <w:rFonts w:ascii="Times New Roman" w:hAnsi="Times New Roman" w:eastAsia="仿宋_GB2312" w:cs="Times New Roman"/>
          <w:sz w:val="32"/>
          <w:szCs w:val="32"/>
          <w:highlight w:val="none"/>
        </w:rPr>
        <w:t>单位价值50万元以上通用设备</w:t>
      </w:r>
      <w:r>
        <w:rPr>
          <w:rFonts w:hint="eastAsia" w:ascii="Times New Roman" w:hAnsi="Times New Roman" w:eastAsia="仿宋_GB2312" w:cs="Times New Roman"/>
          <w:sz w:val="32"/>
          <w:szCs w:val="32"/>
          <w:highlight w:val="none"/>
          <w:lang w:eastAsia="zh-CN"/>
        </w:rPr>
        <w:t>，无</w:t>
      </w:r>
      <w:r>
        <w:rPr>
          <w:rFonts w:ascii="Times New Roman" w:hAnsi="Times New Roman" w:eastAsia="仿宋_GB2312"/>
          <w:color w:val="000000"/>
          <w:sz w:val="32"/>
          <w:szCs w:val="32"/>
        </w:rPr>
        <w:t>单位价值100万元以上专用设备。</w:t>
      </w:r>
    </w:p>
    <w:p>
      <w:pPr>
        <w:widowControl/>
        <w:ind w:firstLine="640" w:firstLineChars="200"/>
        <w:jc w:val="left"/>
        <w:rPr>
          <w:rFonts w:hint="eastAsia" w:ascii="楷体" w:hAnsi="楷体" w:eastAsia="楷体" w:cs="宋体"/>
          <w:b/>
          <w:color w:val="auto"/>
          <w:kern w:val="0"/>
          <w:sz w:val="32"/>
          <w:szCs w:val="32"/>
        </w:rPr>
      </w:pPr>
      <w:r>
        <w:rPr>
          <w:rFonts w:hint="eastAsia" w:ascii="楷体_GB2312" w:hAnsi="楷体_GB2312" w:eastAsia="楷体_GB2312" w:cs="楷体_GB2312"/>
          <w:sz w:val="32"/>
          <w:szCs w:val="32"/>
          <w:lang w:val="en-US" w:eastAsia="zh-CN"/>
        </w:rPr>
        <w:t>（五）专项转移支付项目情况</w:t>
      </w:r>
      <w:r>
        <w:rPr>
          <w:rFonts w:hint="eastAsia" w:ascii="楷体" w:hAnsi="楷体" w:eastAsia="楷体"/>
          <w:b/>
          <w:color w:val="auto"/>
          <w:kern w:val="0"/>
          <w:sz w:val="32"/>
          <w:szCs w:val="32"/>
        </w:rPr>
        <w:t xml:space="preserve"> </w:t>
      </w:r>
    </w:p>
    <w:p>
      <w:pPr>
        <w:keepNext w:val="0"/>
        <w:keepLines w:val="0"/>
        <w:pageBreakBefore w:val="0"/>
        <w:widowControl/>
        <w:wordWrap/>
        <w:overflowPunct w:val="0"/>
        <w:topLinePunct w:val="0"/>
        <w:bidi w:val="0"/>
        <w:spacing w:line="580" w:lineRule="exact"/>
        <w:ind w:firstLine="640" w:firstLineChars="200"/>
        <w:rPr>
          <w:rFonts w:hint="eastAsia" w:ascii="Times New Roman" w:hAnsi="Times New Roman" w:eastAsia="仿宋_GB2312" w:cs="Times New Roman"/>
          <w:snapToGrid w:val="0"/>
          <w:color w:val="000000"/>
          <w:sz w:val="32"/>
          <w:szCs w:val="32"/>
          <w:lang w:val="en-US" w:eastAsia="zh-CN" w:bidi="zh-TW"/>
        </w:rPr>
      </w:pPr>
      <w:r>
        <w:rPr>
          <w:rFonts w:ascii="Times New Roman" w:hAnsi="Times New Roman" w:eastAsia="仿宋_GB2312" w:cs="Times New Roman"/>
          <w:snapToGrid w:val="0"/>
          <w:color w:val="000000"/>
          <w:sz w:val="32"/>
          <w:szCs w:val="32"/>
          <w:lang w:val="zh-TW" w:eastAsia="zh-CN" w:bidi="zh-TW"/>
        </w:rPr>
        <w:t>我</w:t>
      </w:r>
      <w:r>
        <w:rPr>
          <w:rFonts w:hint="eastAsia" w:ascii="Times New Roman" w:hAnsi="Times New Roman" w:eastAsia="仿宋_GB2312" w:cs="Times New Roman"/>
          <w:snapToGrid w:val="0"/>
          <w:color w:val="000000"/>
          <w:sz w:val="32"/>
          <w:szCs w:val="32"/>
          <w:lang w:val="zh-TW" w:eastAsia="zh-CN" w:bidi="zh-TW"/>
        </w:rPr>
        <w:t>部门</w:t>
      </w:r>
      <w:r>
        <w:rPr>
          <w:rFonts w:ascii="Times New Roman" w:hAnsi="Times New Roman" w:eastAsia="仿宋_GB2312" w:cs="Times New Roman"/>
          <w:snapToGrid w:val="0"/>
          <w:color w:val="000000"/>
          <w:sz w:val="32"/>
          <w:szCs w:val="32"/>
          <w:lang w:val="zh-TW" w:eastAsia="zh-CN" w:bidi="zh-TW"/>
        </w:rPr>
        <w:t>没有负责管理的专项转移支付项目</w:t>
      </w:r>
      <w:r>
        <w:rPr>
          <w:rFonts w:hint="eastAsia" w:ascii="Times New Roman" w:hAnsi="Times New Roman" w:eastAsia="仿宋_GB2312" w:cs="Times New Roman"/>
          <w:snapToGrid w:val="0"/>
          <w:color w:val="000000"/>
          <w:sz w:val="32"/>
          <w:szCs w:val="32"/>
          <w:lang w:val="zh-TW" w:eastAsia="zh-CN" w:bidi="zh-TW"/>
        </w:rPr>
        <w:t>。</w:t>
      </w:r>
    </w:p>
    <w:p>
      <w:pPr>
        <w:widowControl/>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（六）空表说明</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color w:val="000000"/>
          <w:sz w:val="32"/>
          <w:szCs w:val="32"/>
          <w:lang w:val="en-US" w:eastAsia="zh-CN" w:bidi="zh-TW"/>
        </w:rPr>
      </w:pPr>
      <w:r>
        <w:rPr>
          <w:rFonts w:hint="default" w:ascii="Times New Roman" w:hAnsi="Times New Roman" w:eastAsia="仿宋_GB2312" w:cs="Times New Roman"/>
          <w:snapToGrid w:val="0"/>
          <w:color w:val="000000"/>
          <w:sz w:val="32"/>
          <w:szCs w:val="32"/>
          <w:lang w:val="en-US" w:eastAsia="zh-CN" w:bidi="zh-TW"/>
        </w:rPr>
        <w:t>以下为我部门202</w:t>
      </w:r>
      <w:r>
        <w:rPr>
          <w:rFonts w:hint="eastAsia" w:ascii="Times New Roman" w:hAnsi="Times New Roman" w:eastAsia="仿宋_GB2312" w:cs="Times New Roman"/>
          <w:snapToGrid w:val="0"/>
          <w:color w:val="000000"/>
          <w:sz w:val="32"/>
          <w:szCs w:val="32"/>
          <w:lang w:val="en-US" w:eastAsia="zh-CN" w:bidi="zh-TW"/>
        </w:rPr>
        <w:t>3</w:t>
      </w:r>
      <w:r>
        <w:rPr>
          <w:rFonts w:hint="default" w:ascii="Times New Roman" w:hAnsi="Times New Roman" w:eastAsia="仿宋_GB2312" w:cs="Times New Roman"/>
          <w:snapToGrid w:val="0"/>
          <w:color w:val="000000"/>
          <w:sz w:val="32"/>
          <w:szCs w:val="32"/>
          <w:lang w:val="en-US" w:eastAsia="zh-CN" w:bidi="zh-TW"/>
        </w:rPr>
        <w:t>年预算没有相关数据的空表</w:t>
      </w:r>
      <w:r>
        <w:rPr>
          <w:rFonts w:hint="eastAsia" w:ascii="Times New Roman" w:hAnsi="Times New Roman" w:eastAsia="仿宋_GB2312" w:cs="Times New Roman"/>
          <w:snapToGrid w:val="0"/>
          <w:color w:val="000000"/>
          <w:sz w:val="32"/>
          <w:szCs w:val="32"/>
          <w:lang w:val="en-US" w:eastAsia="zh-CN" w:bidi="zh-TW"/>
        </w:rPr>
        <w:t>：</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color w:val="000000"/>
          <w:sz w:val="32"/>
          <w:szCs w:val="32"/>
          <w:lang w:val="en-US" w:eastAsia="zh-CN" w:bidi="zh-TW"/>
        </w:rPr>
      </w:pPr>
      <w:r>
        <w:rPr>
          <w:rFonts w:hint="eastAsia" w:ascii="Times New Roman" w:hAnsi="Times New Roman" w:eastAsia="仿宋_GB2312" w:cs="Times New Roman"/>
          <w:snapToGrid w:val="0"/>
          <w:color w:val="000000"/>
          <w:sz w:val="32"/>
          <w:szCs w:val="32"/>
          <w:lang w:val="en-US" w:eastAsia="zh-CN" w:bidi="zh-TW"/>
        </w:rPr>
        <w:t>1.</w:t>
      </w:r>
      <w:r>
        <w:rPr>
          <w:rFonts w:hint="default" w:ascii="Times New Roman" w:hAnsi="Times New Roman" w:eastAsia="仿宋_GB2312" w:cs="Times New Roman"/>
          <w:snapToGrid w:val="0"/>
          <w:color w:val="000000"/>
          <w:sz w:val="32"/>
          <w:szCs w:val="32"/>
          <w:lang w:val="en-US" w:eastAsia="zh-CN" w:bidi="zh-TW"/>
        </w:rPr>
        <w:t>政府性基金支出预算表（预算0</w:t>
      </w:r>
      <w:r>
        <w:rPr>
          <w:rFonts w:hint="eastAsia" w:ascii="Times New Roman" w:hAnsi="Times New Roman" w:eastAsia="仿宋_GB2312" w:cs="Times New Roman"/>
          <w:snapToGrid w:val="0"/>
          <w:color w:val="000000"/>
          <w:sz w:val="32"/>
          <w:szCs w:val="32"/>
          <w:lang w:val="en-US" w:eastAsia="zh-CN" w:bidi="zh-TW"/>
        </w:rPr>
        <w:t>8</w:t>
      </w:r>
      <w:r>
        <w:rPr>
          <w:rFonts w:hint="default" w:ascii="Times New Roman" w:hAnsi="Times New Roman" w:eastAsia="仿宋_GB2312" w:cs="Times New Roman"/>
          <w:snapToGrid w:val="0"/>
          <w:color w:val="000000"/>
          <w:sz w:val="32"/>
          <w:szCs w:val="32"/>
          <w:lang w:val="en-US" w:eastAsia="zh-CN" w:bidi="zh-TW"/>
        </w:rPr>
        <w:t>表）</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color w:val="000000"/>
          <w:sz w:val="32"/>
          <w:szCs w:val="32"/>
          <w:lang w:val="en-US" w:eastAsia="zh-CN" w:bidi="zh-TW"/>
        </w:rPr>
      </w:pPr>
      <w:r>
        <w:rPr>
          <w:rFonts w:hint="default" w:ascii="Times New Roman" w:hAnsi="Times New Roman" w:eastAsia="仿宋_GB2312" w:cs="Times New Roman"/>
          <w:snapToGrid w:val="0"/>
          <w:color w:val="000000"/>
          <w:sz w:val="32"/>
          <w:szCs w:val="32"/>
          <w:lang w:val="en-US" w:eastAsia="zh-CN" w:bidi="zh-TW"/>
        </w:rPr>
        <w:t>我部门202</w:t>
      </w:r>
      <w:r>
        <w:rPr>
          <w:rFonts w:hint="eastAsia" w:ascii="Times New Roman" w:hAnsi="Times New Roman" w:eastAsia="仿宋_GB2312" w:cs="Times New Roman"/>
          <w:snapToGrid w:val="0"/>
          <w:color w:val="000000"/>
          <w:sz w:val="32"/>
          <w:szCs w:val="32"/>
          <w:lang w:val="en-US" w:eastAsia="zh-CN" w:bidi="zh-TW"/>
        </w:rPr>
        <w:t>3</w:t>
      </w:r>
      <w:r>
        <w:rPr>
          <w:rFonts w:hint="default" w:ascii="Times New Roman" w:hAnsi="Times New Roman" w:eastAsia="仿宋_GB2312" w:cs="Times New Roman"/>
          <w:snapToGrid w:val="0"/>
          <w:color w:val="000000"/>
          <w:sz w:val="32"/>
          <w:szCs w:val="32"/>
          <w:lang w:val="en-US" w:eastAsia="zh-CN" w:bidi="zh-TW"/>
        </w:rPr>
        <w:t>年未使用政府性基金预算拨款安排的支出。</w:t>
      </w:r>
    </w:p>
    <w:p>
      <w:pPr>
        <w:widowControl/>
        <w:spacing w:line="580" w:lineRule="exact"/>
        <w:ind w:firstLine="643" w:firstLineChars="200"/>
        <w:rPr>
          <w:rFonts w:hint="eastAsia" w:ascii="楷体" w:hAnsi="楷体" w:eastAsia="楷体"/>
          <w:b/>
          <w:color w:val="auto"/>
          <w:sz w:val="32"/>
          <w:szCs w:val="32"/>
          <w:lang w:val="en-US" w:eastAsia="zh-CN"/>
        </w:rPr>
      </w:pPr>
      <w:r>
        <w:rPr>
          <w:rFonts w:hint="eastAsia" w:ascii="楷体" w:hAnsi="楷体" w:eastAsia="楷体"/>
          <w:b/>
          <w:color w:val="auto"/>
          <w:sz w:val="32"/>
          <w:szCs w:val="32"/>
          <w:lang w:val="en-US" w:eastAsia="zh-CN"/>
        </w:rPr>
        <w:t xml:space="preserve">（七）其他说明 </w:t>
      </w:r>
    </w:p>
    <w:p>
      <w:pPr>
        <w:widowControl/>
        <w:spacing w:line="580" w:lineRule="exact"/>
        <w:ind w:firstLine="640" w:firstLineChars="200"/>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部分数据因四舍五入的原因，存在总计与分项合计不等的情况。</w:t>
      </w:r>
    </w:p>
    <w:p>
      <w:pPr>
        <w:keepNext w:val="0"/>
        <w:keepLines w:val="0"/>
        <w:pageBreakBefore w:val="0"/>
        <w:widowControl/>
        <w:wordWrap/>
        <w:topLinePunct w:val="0"/>
        <w:bidi w:val="0"/>
        <w:spacing w:before="191" w:line="580" w:lineRule="exact"/>
        <w:jc w:val="center"/>
        <w:rPr>
          <w:rFonts w:ascii="黑体" w:hAnsi="黑体" w:eastAsia="黑体" w:cs="黑体"/>
          <w:sz w:val="31"/>
          <w:szCs w:val="31"/>
        </w:rPr>
      </w:pPr>
      <w:r>
        <w:rPr>
          <w:rFonts w:ascii="黑体" w:hAnsi="黑体" w:eastAsia="黑体" w:cs="黑体"/>
          <w:spacing w:val="8"/>
          <w:sz w:val="31"/>
          <w:szCs w:val="31"/>
        </w:rPr>
        <w:t>第</w:t>
      </w:r>
      <w:r>
        <w:rPr>
          <w:rFonts w:ascii="黑体" w:hAnsi="黑体" w:eastAsia="黑体" w:cs="黑体"/>
          <w:spacing w:val="6"/>
          <w:sz w:val="31"/>
          <w:szCs w:val="31"/>
        </w:rPr>
        <w:t>三部分</w:t>
      </w:r>
    </w:p>
    <w:p>
      <w:pPr>
        <w:keepNext w:val="0"/>
        <w:keepLines w:val="0"/>
        <w:pageBreakBefore w:val="0"/>
        <w:widowControl/>
        <w:wordWrap/>
        <w:topLinePunct w:val="0"/>
        <w:bidi w:val="0"/>
        <w:spacing w:before="218" w:line="580" w:lineRule="exact"/>
        <w:jc w:val="center"/>
        <w:outlineLvl w:val="0"/>
        <w:rPr>
          <w:rFonts w:hint="eastAsia" w:ascii="黑体" w:hAnsi="黑体" w:eastAsia="黑体" w:cs="黑体"/>
          <w:sz w:val="31"/>
          <w:szCs w:val="31"/>
          <w:lang w:val="en-US" w:eastAsia="zh-CN"/>
        </w:rPr>
      </w:pPr>
      <w:r>
        <w:rPr>
          <w:rFonts w:hint="eastAsia" w:ascii="黑体" w:hAnsi="黑体" w:eastAsia="黑体" w:cs="黑体"/>
          <w:sz w:val="31"/>
          <w:szCs w:val="31"/>
          <w:lang w:val="en-US" w:eastAsia="zh-CN"/>
        </w:rPr>
        <w:t>名词解释</w:t>
      </w:r>
    </w:p>
    <w:p>
      <w:pPr>
        <w:keepNext w:val="0"/>
        <w:keepLines w:val="0"/>
        <w:pageBreakBefore w:val="0"/>
        <w:widowControl/>
        <w:wordWrap/>
        <w:topLinePunct w:val="0"/>
        <w:bidi w:val="0"/>
        <w:spacing w:before="219" w:line="580" w:lineRule="exact"/>
        <w:ind w:left="74" w:right="73" w:firstLine="657"/>
        <w:rPr>
          <w:rFonts w:hint="eastAsia" w:ascii="仿宋" w:hAnsi="仿宋" w:eastAsia="仿宋" w:cs="仿宋"/>
          <w:sz w:val="31"/>
          <w:szCs w:val="31"/>
          <w:lang w:eastAsia="zh-CN"/>
        </w:rPr>
      </w:pPr>
      <w:r>
        <w:rPr>
          <w:rFonts w:ascii="仿宋" w:hAnsi="仿宋" w:eastAsia="仿宋" w:cs="仿宋"/>
          <w:spacing w:val="13"/>
          <w:sz w:val="31"/>
          <w:szCs w:val="31"/>
        </w:rPr>
        <w:t>一、财政拨款收入：是指</w:t>
      </w:r>
      <w:r>
        <w:rPr>
          <w:rFonts w:hint="eastAsia" w:ascii="仿宋" w:hAnsi="仿宋" w:eastAsia="仿宋" w:cs="仿宋"/>
          <w:spacing w:val="13"/>
          <w:sz w:val="31"/>
          <w:szCs w:val="31"/>
          <w:lang w:val="en-US" w:eastAsia="zh-CN"/>
        </w:rPr>
        <w:t>县</w:t>
      </w:r>
      <w:r>
        <w:rPr>
          <w:rFonts w:ascii="仿宋" w:hAnsi="仿宋" w:eastAsia="仿宋" w:cs="仿宋"/>
          <w:spacing w:val="13"/>
          <w:sz w:val="31"/>
          <w:szCs w:val="31"/>
        </w:rPr>
        <w:t>级财政当年拨付的资金；包括一</w:t>
      </w:r>
      <w:r>
        <w:rPr>
          <w:rFonts w:ascii="仿宋" w:hAnsi="仿宋" w:eastAsia="仿宋" w:cs="仿宋"/>
          <w:spacing w:val="24"/>
          <w:sz w:val="31"/>
          <w:szCs w:val="31"/>
        </w:rPr>
        <w:t>般</w:t>
      </w:r>
      <w:r>
        <w:rPr>
          <w:rFonts w:ascii="仿宋" w:hAnsi="仿宋" w:eastAsia="仿宋" w:cs="仿宋"/>
          <w:spacing w:val="13"/>
          <w:sz w:val="31"/>
          <w:szCs w:val="31"/>
        </w:rPr>
        <w:t>公共预算拨款、政府性基金预算拨款、国有资本经营预算拨款</w:t>
      </w:r>
      <w:r>
        <w:rPr>
          <w:rFonts w:hint="eastAsia" w:ascii="仿宋" w:hAnsi="仿宋" w:eastAsia="仿宋" w:cs="仿宋"/>
          <w:spacing w:val="13"/>
          <w:sz w:val="31"/>
          <w:szCs w:val="31"/>
          <w:lang w:eastAsia="zh-CN"/>
        </w:rPr>
        <w:t>。</w:t>
      </w:r>
    </w:p>
    <w:p>
      <w:pPr>
        <w:keepNext w:val="0"/>
        <w:keepLines w:val="0"/>
        <w:pageBreakBefore w:val="0"/>
        <w:widowControl/>
        <w:wordWrap/>
        <w:topLinePunct w:val="0"/>
        <w:bidi w:val="0"/>
        <w:spacing w:before="240" w:line="580" w:lineRule="exact"/>
        <w:ind w:left="66" w:right="73" w:firstLine="662"/>
        <w:rPr>
          <w:rFonts w:ascii="仿宋" w:hAnsi="仿宋" w:eastAsia="仿宋" w:cs="仿宋"/>
          <w:sz w:val="31"/>
          <w:szCs w:val="31"/>
        </w:rPr>
      </w:pPr>
      <w:r>
        <w:rPr>
          <w:rFonts w:ascii="仿宋" w:hAnsi="仿宋" w:eastAsia="仿宋" w:cs="仿宋"/>
          <w:spacing w:val="15"/>
          <w:sz w:val="31"/>
          <w:szCs w:val="31"/>
        </w:rPr>
        <w:t>二</w:t>
      </w:r>
      <w:r>
        <w:rPr>
          <w:rFonts w:ascii="仿宋" w:hAnsi="仿宋" w:eastAsia="仿宋" w:cs="仿宋"/>
          <w:spacing w:val="13"/>
          <w:sz w:val="31"/>
          <w:szCs w:val="31"/>
        </w:rPr>
        <w:t>、财政专户管理资金：是指缴入财政专户、实行专项管理</w:t>
      </w:r>
      <w:r>
        <w:rPr>
          <w:rFonts w:ascii="仿宋" w:hAnsi="仿宋" w:eastAsia="仿宋" w:cs="仿宋"/>
          <w:spacing w:val="8"/>
          <w:sz w:val="31"/>
          <w:szCs w:val="31"/>
        </w:rPr>
        <w:t>的高中以上学费、住宿费、高校委托培养费、函大、 电大、夜</w:t>
      </w:r>
      <w:r>
        <w:rPr>
          <w:rFonts w:ascii="仿宋" w:hAnsi="仿宋" w:eastAsia="仿宋" w:cs="仿宋"/>
          <w:spacing w:val="4"/>
          <w:sz w:val="31"/>
          <w:szCs w:val="31"/>
        </w:rPr>
        <w:t>大</w:t>
      </w:r>
      <w:r>
        <w:rPr>
          <w:rFonts w:ascii="仿宋" w:hAnsi="仿宋" w:eastAsia="仿宋" w:cs="仿宋"/>
          <w:spacing w:val="15"/>
          <w:sz w:val="31"/>
          <w:szCs w:val="31"/>
        </w:rPr>
        <w:t>及</w:t>
      </w:r>
      <w:r>
        <w:rPr>
          <w:rFonts w:ascii="仿宋" w:hAnsi="仿宋" w:eastAsia="仿宋" w:cs="仿宋"/>
          <w:spacing w:val="8"/>
          <w:sz w:val="31"/>
          <w:szCs w:val="31"/>
        </w:rPr>
        <w:t>短训班培训费等教育收费。</w:t>
      </w:r>
    </w:p>
    <w:p>
      <w:pPr>
        <w:keepNext w:val="0"/>
        <w:keepLines w:val="0"/>
        <w:pageBreakBefore w:val="0"/>
        <w:widowControl/>
        <w:wordWrap/>
        <w:topLinePunct w:val="0"/>
        <w:bidi w:val="0"/>
        <w:spacing w:before="1" w:line="580" w:lineRule="exact"/>
        <w:ind w:left="75" w:right="73" w:firstLine="659"/>
        <w:rPr>
          <w:rFonts w:ascii="仿宋" w:hAnsi="仿宋" w:eastAsia="仿宋" w:cs="仿宋"/>
          <w:sz w:val="31"/>
          <w:szCs w:val="31"/>
        </w:rPr>
      </w:pPr>
      <w:r>
        <w:rPr>
          <w:rFonts w:ascii="仿宋" w:hAnsi="仿宋" w:eastAsia="仿宋" w:cs="仿宋"/>
          <w:spacing w:val="13"/>
          <w:sz w:val="31"/>
          <w:szCs w:val="31"/>
        </w:rPr>
        <w:t>三、事业收入：是指事业单位开展专业活动及辅助活动所</w:t>
      </w:r>
      <w:r>
        <w:rPr>
          <w:rFonts w:ascii="仿宋" w:hAnsi="仿宋" w:eastAsia="仿宋" w:cs="仿宋"/>
          <w:spacing w:val="9"/>
          <w:sz w:val="31"/>
          <w:szCs w:val="31"/>
        </w:rPr>
        <w:t>取</w:t>
      </w:r>
      <w:r>
        <w:rPr>
          <w:rFonts w:ascii="仿宋" w:hAnsi="仿宋" w:eastAsia="仿宋" w:cs="仿宋"/>
          <w:spacing w:val="8"/>
          <w:sz w:val="31"/>
          <w:szCs w:val="31"/>
        </w:rPr>
        <w:t>得的收入，不包括教育收费</w:t>
      </w:r>
      <w:r>
        <w:rPr>
          <w:rFonts w:ascii="仿宋" w:hAnsi="仿宋" w:eastAsia="仿宋" w:cs="仿宋"/>
          <w:spacing w:val="6"/>
          <w:sz w:val="31"/>
          <w:szCs w:val="31"/>
        </w:rPr>
        <w:t>。</w:t>
      </w:r>
    </w:p>
    <w:p>
      <w:pPr>
        <w:keepNext w:val="0"/>
        <w:keepLines w:val="0"/>
        <w:pageBreakBefore w:val="0"/>
        <w:widowControl/>
        <w:wordWrap/>
        <w:topLinePunct w:val="0"/>
        <w:bidi w:val="0"/>
        <w:spacing w:before="1" w:line="580" w:lineRule="exact"/>
        <w:ind w:left="78" w:right="73" w:firstLine="670"/>
        <w:rPr>
          <w:rFonts w:ascii="仿宋" w:hAnsi="仿宋" w:eastAsia="仿宋" w:cs="仿宋"/>
          <w:sz w:val="31"/>
          <w:szCs w:val="31"/>
        </w:rPr>
      </w:pPr>
      <w:r>
        <w:rPr>
          <w:rFonts w:ascii="仿宋" w:hAnsi="仿宋" w:eastAsia="仿宋" w:cs="仿宋"/>
          <w:spacing w:val="21"/>
          <w:sz w:val="31"/>
          <w:szCs w:val="31"/>
        </w:rPr>
        <w:t>四</w:t>
      </w:r>
      <w:r>
        <w:rPr>
          <w:rFonts w:ascii="仿宋" w:hAnsi="仿宋" w:eastAsia="仿宋" w:cs="仿宋"/>
          <w:spacing w:val="12"/>
          <w:sz w:val="31"/>
          <w:szCs w:val="31"/>
        </w:rPr>
        <w:t>、事业单位经营收入：是指事业单位在专业业务活动及其</w:t>
      </w:r>
      <w:r>
        <w:rPr>
          <w:rFonts w:ascii="仿宋" w:hAnsi="仿宋" w:eastAsia="仿宋" w:cs="仿宋"/>
          <w:spacing w:val="9"/>
          <w:sz w:val="31"/>
          <w:szCs w:val="31"/>
        </w:rPr>
        <w:t>辅助活动之外开展非独立核算经营活动取得的收入</w:t>
      </w:r>
    </w:p>
    <w:p>
      <w:pPr>
        <w:keepNext w:val="0"/>
        <w:keepLines w:val="0"/>
        <w:pageBreakBefore w:val="0"/>
        <w:widowControl/>
        <w:wordWrap/>
        <w:topLinePunct w:val="0"/>
        <w:bidi w:val="0"/>
        <w:spacing w:before="2" w:line="580" w:lineRule="exact"/>
        <w:ind w:firstLine="722"/>
        <w:rPr>
          <w:rFonts w:ascii="仿宋" w:hAnsi="仿宋" w:eastAsia="仿宋" w:cs="仿宋"/>
          <w:spacing w:val="12"/>
          <w:sz w:val="31"/>
          <w:szCs w:val="31"/>
        </w:rPr>
      </w:pPr>
      <w:r>
        <w:rPr>
          <w:rFonts w:ascii="仿宋" w:hAnsi="仿宋" w:eastAsia="仿宋" w:cs="仿宋"/>
          <w:spacing w:val="6"/>
          <w:sz w:val="31"/>
          <w:szCs w:val="31"/>
        </w:rPr>
        <w:t>五、其他</w:t>
      </w:r>
      <w:r>
        <w:rPr>
          <w:rFonts w:ascii="仿宋" w:hAnsi="仿宋" w:eastAsia="仿宋" w:cs="仿宋"/>
          <w:spacing w:val="4"/>
          <w:sz w:val="31"/>
          <w:szCs w:val="31"/>
        </w:rPr>
        <w:t>收</w:t>
      </w:r>
      <w:r>
        <w:rPr>
          <w:rFonts w:ascii="仿宋" w:hAnsi="仿宋" w:eastAsia="仿宋" w:cs="仿宋"/>
          <w:spacing w:val="3"/>
          <w:sz w:val="31"/>
          <w:szCs w:val="31"/>
        </w:rPr>
        <w:t>入：是指部门取得的除</w:t>
      </w:r>
      <w:r>
        <w:rPr>
          <w:rFonts w:ascii="Times New Roman" w:hAnsi="Times New Roman" w:eastAsia="Times New Roman" w:cs="Times New Roman"/>
          <w:spacing w:val="3"/>
          <w:sz w:val="31"/>
          <w:szCs w:val="31"/>
        </w:rPr>
        <w:t>“</w:t>
      </w:r>
      <w:r>
        <w:rPr>
          <w:rFonts w:ascii="仿宋" w:hAnsi="仿宋" w:eastAsia="仿宋" w:cs="仿宋"/>
          <w:spacing w:val="3"/>
          <w:sz w:val="31"/>
          <w:szCs w:val="31"/>
        </w:rPr>
        <w:t>财政拨款</w:t>
      </w:r>
      <w:r>
        <w:rPr>
          <w:rFonts w:ascii="Times New Roman" w:hAnsi="Times New Roman" w:eastAsia="Times New Roman" w:cs="Times New Roman"/>
          <w:spacing w:val="3"/>
          <w:sz w:val="31"/>
          <w:szCs w:val="31"/>
        </w:rPr>
        <w:t xml:space="preserve">” </w:t>
      </w:r>
      <w:r>
        <w:rPr>
          <w:rFonts w:ascii="仿宋" w:hAnsi="仿宋" w:eastAsia="仿宋" w:cs="仿宋"/>
          <w:spacing w:val="3"/>
          <w:sz w:val="31"/>
          <w:szCs w:val="31"/>
        </w:rPr>
        <w:t>、</w:t>
      </w:r>
      <w:r>
        <w:rPr>
          <w:rFonts w:ascii="Times New Roman" w:hAnsi="Times New Roman" w:eastAsia="Times New Roman" w:cs="Times New Roman"/>
          <w:spacing w:val="3"/>
          <w:sz w:val="31"/>
          <w:szCs w:val="31"/>
        </w:rPr>
        <w:t>“</w:t>
      </w:r>
      <w:r>
        <w:rPr>
          <w:rFonts w:ascii="仿宋" w:hAnsi="仿宋" w:eastAsia="仿宋" w:cs="仿宋"/>
          <w:spacing w:val="3"/>
          <w:sz w:val="31"/>
          <w:szCs w:val="31"/>
        </w:rPr>
        <w:t>事业收入</w:t>
      </w:r>
      <w:r>
        <w:rPr>
          <w:rFonts w:ascii="Times New Roman" w:hAnsi="Times New Roman" w:eastAsia="Times New Roman" w:cs="Times New Roman"/>
          <w:spacing w:val="3"/>
          <w:sz w:val="31"/>
          <w:szCs w:val="31"/>
        </w:rPr>
        <w:t>”</w:t>
      </w:r>
      <w:r>
        <w:rPr>
          <w:rFonts w:ascii="仿宋" w:hAnsi="仿宋" w:eastAsia="仿宋" w:cs="仿宋"/>
          <w:spacing w:val="3"/>
          <w:sz w:val="31"/>
          <w:szCs w:val="31"/>
        </w:rPr>
        <w:t>、</w:t>
      </w:r>
      <w:r>
        <w:rPr>
          <w:rFonts w:ascii="Times New Roman" w:hAnsi="Times New Roman" w:eastAsia="Times New Roman" w:cs="Times New Roman"/>
          <w:spacing w:val="14"/>
          <w:sz w:val="31"/>
          <w:szCs w:val="31"/>
        </w:rPr>
        <w:t>“</w:t>
      </w:r>
      <w:r>
        <w:rPr>
          <w:rFonts w:ascii="仿宋" w:hAnsi="仿宋" w:eastAsia="仿宋" w:cs="仿宋"/>
          <w:spacing w:val="12"/>
          <w:sz w:val="31"/>
          <w:szCs w:val="31"/>
        </w:rPr>
        <w:t>事业单位经营收入</w:t>
      </w:r>
      <w:r>
        <w:rPr>
          <w:rFonts w:ascii="Times New Roman" w:hAnsi="Times New Roman" w:eastAsia="Times New Roman" w:cs="Times New Roman"/>
          <w:spacing w:val="12"/>
          <w:sz w:val="31"/>
          <w:szCs w:val="31"/>
        </w:rPr>
        <w:t>”</w:t>
      </w:r>
      <w:r>
        <w:rPr>
          <w:rFonts w:ascii="仿宋" w:hAnsi="仿宋" w:eastAsia="仿宋" w:cs="仿宋"/>
          <w:spacing w:val="12"/>
          <w:sz w:val="31"/>
          <w:szCs w:val="31"/>
        </w:rPr>
        <w:t>等以外的收入。</w:t>
      </w:r>
    </w:p>
    <w:p>
      <w:pPr>
        <w:keepNext w:val="0"/>
        <w:keepLines w:val="0"/>
        <w:pageBreakBefore w:val="0"/>
        <w:widowControl w:val="0"/>
        <w:kinsoku w:val="0"/>
        <w:wordWrap/>
        <w:overflowPunct/>
        <w:topLinePunct w:val="0"/>
        <w:autoSpaceDE w:val="0"/>
        <w:autoSpaceDN w:val="0"/>
        <w:bidi w:val="0"/>
        <w:adjustRightInd w:val="0"/>
        <w:snapToGrid w:val="0"/>
        <w:spacing w:before="2" w:line="580" w:lineRule="exact"/>
        <w:ind w:firstLine="720"/>
        <w:textAlignment w:val="baseline"/>
        <w:rPr>
          <w:rFonts w:ascii="仿宋" w:hAnsi="仿宋" w:eastAsia="仿宋" w:cs="仿宋"/>
          <w:spacing w:val="8"/>
          <w:sz w:val="31"/>
          <w:szCs w:val="31"/>
        </w:rPr>
      </w:pPr>
      <w:r>
        <w:rPr>
          <w:rFonts w:ascii="仿宋" w:hAnsi="仿宋" w:eastAsia="仿宋" w:cs="仿宋"/>
          <w:spacing w:val="14"/>
          <w:sz w:val="31"/>
          <w:szCs w:val="31"/>
        </w:rPr>
        <w:t>六、</w:t>
      </w:r>
      <w:r>
        <w:rPr>
          <w:rFonts w:ascii="仿宋" w:hAnsi="仿宋" w:eastAsia="仿宋" w:cs="仿宋"/>
          <w:spacing w:val="11"/>
          <w:sz w:val="31"/>
          <w:szCs w:val="31"/>
        </w:rPr>
        <w:t>用</w:t>
      </w:r>
      <w:r>
        <w:rPr>
          <w:rFonts w:ascii="仿宋" w:hAnsi="仿宋" w:eastAsia="仿宋" w:cs="仿宋"/>
          <w:spacing w:val="7"/>
          <w:sz w:val="31"/>
          <w:szCs w:val="31"/>
        </w:rPr>
        <w:t>事业基金弥补收支差额：是指事业单位在当年的</w:t>
      </w:r>
      <w:r>
        <w:rPr>
          <w:rFonts w:ascii="Times New Roman" w:hAnsi="Times New Roman" w:eastAsia="Times New Roman" w:cs="Times New Roman"/>
          <w:spacing w:val="7"/>
          <w:sz w:val="31"/>
          <w:szCs w:val="31"/>
        </w:rPr>
        <w:t>“</w:t>
      </w:r>
      <w:r>
        <w:rPr>
          <w:rFonts w:ascii="仿宋" w:hAnsi="仿宋" w:eastAsia="仿宋" w:cs="仿宋"/>
          <w:spacing w:val="7"/>
          <w:sz w:val="31"/>
          <w:szCs w:val="31"/>
        </w:rPr>
        <w:t>财政</w:t>
      </w:r>
      <w:r>
        <w:rPr>
          <w:rFonts w:ascii="仿宋" w:hAnsi="仿宋" w:eastAsia="仿宋" w:cs="仿宋"/>
          <w:spacing w:val="10"/>
          <w:sz w:val="31"/>
          <w:szCs w:val="31"/>
        </w:rPr>
        <w:t>拨款收入</w:t>
      </w:r>
      <w:r>
        <w:rPr>
          <w:rFonts w:ascii="Times New Roman" w:hAnsi="Times New Roman" w:eastAsia="Times New Roman" w:cs="Times New Roman"/>
          <w:spacing w:val="8"/>
          <w:sz w:val="31"/>
          <w:szCs w:val="31"/>
        </w:rPr>
        <w:t>”</w:t>
      </w:r>
      <w:r>
        <w:rPr>
          <w:rFonts w:ascii="仿宋" w:hAnsi="仿宋" w:eastAsia="仿宋" w:cs="仿宋"/>
          <w:spacing w:val="5"/>
          <w:sz w:val="31"/>
          <w:szCs w:val="31"/>
        </w:rPr>
        <w:t>、</w:t>
      </w:r>
      <w:r>
        <w:rPr>
          <w:rFonts w:ascii="Times New Roman" w:hAnsi="Times New Roman" w:eastAsia="Times New Roman" w:cs="Times New Roman"/>
          <w:spacing w:val="5"/>
          <w:sz w:val="31"/>
          <w:szCs w:val="31"/>
        </w:rPr>
        <w:t>“</w:t>
      </w:r>
      <w:r>
        <w:rPr>
          <w:rFonts w:ascii="仿宋" w:hAnsi="仿宋" w:eastAsia="仿宋" w:cs="仿宋"/>
          <w:spacing w:val="5"/>
          <w:sz w:val="31"/>
          <w:szCs w:val="31"/>
        </w:rPr>
        <w:t>事业收入</w:t>
      </w:r>
      <w:r>
        <w:rPr>
          <w:rFonts w:ascii="Times New Roman" w:hAnsi="Times New Roman" w:eastAsia="Times New Roman" w:cs="Times New Roman"/>
          <w:spacing w:val="5"/>
          <w:sz w:val="31"/>
          <w:szCs w:val="31"/>
        </w:rPr>
        <w:t xml:space="preserve">” </w:t>
      </w:r>
      <w:r>
        <w:rPr>
          <w:rFonts w:ascii="仿宋" w:hAnsi="仿宋" w:eastAsia="仿宋" w:cs="仿宋"/>
          <w:spacing w:val="5"/>
          <w:sz w:val="31"/>
          <w:szCs w:val="31"/>
        </w:rPr>
        <w:t>、</w:t>
      </w:r>
      <w:r>
        <w:rPr>
          <w:rFonts w:ascii="Times New Roman" w:hAnsi="Times New Roman" w:eastAsia="Times New Roman" w:cs="Times New Roman"/>
          <w:spacing w:val="5"/>
          <w:sz w:val="31"/>
          <w:szCs w:val="31"/>
        </w:rPr>
        <w:t>“</w:t>
      </w:r>
      <w:r>
        <w:rPr>
          <w:rFonts w:ascii="仿宋" w:hAnsi="仿宋" w:eastAsia="仿宋" w:cs="仿宋"/>
          <w:spacing w:val="5"/>
          <w:sz w:val="31"/>
          <w:szCs w:val="31"/>
        </w:rPr>
        <w:t>经营收入</w:t>
      </w:r>
      <w:r>
        <w:rPr>
          <w:rFonts w:ascii="Times New Roman" w:hAnsi="Times New Roman" w:eastAsia="Times New Roman" w:cs="Times New Roman"/>
          <w:spacing w:val="5"/>
          <w:sz w:val="31"/>
          <w:szCs w:val="31"/>
        </w:rPr>
        <w:t>”</w:t>
      </w:r>
      <w:r>
        <w:rPr>
          <w:rFonts w:ascii="仿宋" w:hAnsi="仿宋" w:eastAsia="仿宋" w:cs="仿宋"/>
          <w:spacing w:val="5"/>
          <w:sz w:val="31"/>
          <w:szCs w:val="31"/>
        </w:rPr>
        <w:t>和</w:t>
      </w:r>
      <w:r>
        <w:rPr>
          <w:rFonts w:ascii="Times New Roman" w:hAnsi="Times New Roman" w:eastAsia="Times New Roman" w:cs="Times New Roman"/>
          <w:spacing w:val="5"/>
          <w:sz w:val="31"/>
          <w:szCs w:val="31"/>
        </w:rPr>
        <w:t>“</w:t>
      </w:r>
      <w:r>
        <w:rPr>
          <w:rFonts w:ascii="仿宋" w:hAnsi="仿宋" w:eastAsia="仿宋" w:cs="仿宋"/>
          <w:spacing w:val="5"/>
          <w:sz w:val="31"/>
          <w:szCs w:val="31"/>
        </w:rPr>
        <w:t>其他收入</w:t>
      </w:r>
      <w:r>
        <w:rPr>
          <w:rFonts w:ascii="Times New Roman" w:hAnsi="Times New Roman" w:eastAsia="Times New Roman" w:cs="Times New Roman"/>
          <w:spacing w:val="5"/>
          <w:sz w:val="31"/>
          <w:szCs w:val="31"/>
        </w:rPr>
        <w:t>”</w:t>
      </w:r>
      <w:r>
        <w:rPr>
          <w:rFonts w:ascii="仿宋" w:hAnsi="仿宋" w:eastAsia="仿宋" w:cs="仿宋"/>
          <w:spacing w:val="5"/>
          <w:sz w:val="31"/>
          <w:szCs w:val="31"/>
        </w:rPr>
        <w:t>不足以安排当</w:t>
      </w:r>
      <w:r>
        <w:rPr>
          <w:rFonts w:ascii="仿宋" w:hAnsi="仿宋" w:eastAsia="仿宋" w:cs="仿宋"/>
          <w:spacing w:val="14"/>
          <w:sz w:val="31"/>
          <w:szCs w:val="31"/>
        </w:rPr>
        <w:t>年支</w:t>
      </w:r>
      <w:r>
        <w:rPr>
          <w:rFonts w:ascii="仿宋" w:hAnsi="仿宋" w:eastAsia="仿宋" w:cs="仿宋"/>
          <w:spacing w:val="9"/>
          <w:sz w:val="31"/>
          <w:szCs w:val="31"/>
        </w:rPr>
        <w:t>出</w:t>
      </w:r>
      <w:r>
        <w:rPr>
          <w:rFonts w:ascii="仿宋" w:hAnsi="仿宋" w:eastAsia="仿宋" w:cs="仿宋"/>
          <w:spacing w:val="7"/>
          <w:sz w:val="31"/>
          <w:szCs w:val="31"/>
        </w:rPr>
        <w:t>的情况下，使用以前年度积累的事业基金 ( 即事业单位以</w:t>
      </w:r>
      <w:r>
        <w:rPr>
          <w:rFonts w:ascii="仿宋" w:hAnsi="仿宋" w:eastAsia="仿宋" w:cs="仿宋"/>
          <w:spacing w:val="26"/>
          <w:sz w:val="31"/>
          <w:szCs w:val="31"/>
        </w:rPr>
        <w:t>前</w:t>
      </w:r>
      <w:r>
        <w:rPr>
          <w:rFonts w:ascii="仿宋" w:hAnsi="仿宋" w:eastAsia="仿宋" w:cs="仿宋"/>
          <w:spacing w:val="17"/>
          <w:sz w:val="31"/>
          <w:szCs w:val="31"/>
        </w:rPr>
        <w:t>各</w:t>
      </w:r>
      <w:r>
        <w:rPr>
          <w:rFonts w:ascii="仿宋" w:hAnsi="仿宋" w:eastAsia="仿宋" w:cs="仿宋"/>
          <w:spacing w:val="13"/>
          <w:sz w:val="31"/>
          <w:szCs w:val="31"/>
        </w:rPr>
        <w:t>年度收支相抵后，按国家规定提取、用于弥补以后年度收支</w:t>
      </w:r>
      <w:r>
        <w:rPr>
          <w:rFonts w:ascii="仿宋" w:hAnsi="仿宋" w:eastAsia="仿宋" w:cs="仿宋"/>
          <w:spacing w:val="14"/>
          <w:sz w:val="31"/>
          <w:szCs w:val="31"/>
        </w:rPr>
        <w:t>差</w:t>
      </w:r>
      <w:r>
        <w:rPr>
          <w:rFonts w:ascii="仿宋" w:hAnsi="仿宋" w:eastAsia="仿宋" w:cs="仿宋"/>
          <w:spacing w:val="8"/>
          <w:sz w:val="31"/>
          <w:szCs w:val="31"/>
        </w:rPr>
        <w:t>额的基金) 弥补当年收支缺口的资金。</w:t>
      </w:r>
    </w:p>
    <w:p>
      <w:pPr>
        <w:keepNext w:val="0"/>
        <w:keepLines w:val="0"/>
        <w:pageBreakBefore w:val="0"/>
        <w:widowControl w:val="0"/>
        <w:kinsoku w:val="0"/>
        <w:wordWrap/>
        <w:overflowPunct/>
        <w:topLinePunct w:val="0"/>
        <w:autoSpaceDE w:val="0"/>
        <w:autoSpaceDN w:val="0"/>
        <w:bidi w:val="0"/>
        <w:adjustRightInd w:val="0"/>
        <w:snapToGrid w:val="0"/>
        <w:spacing w:before="2" w:line="580" w:lineRule="exact"/>
        <w:ind w:firstLine="720"/>
        <w:textAlignment w:val="baseline"/>
        <w:rPr>
          <w:rFonts w:ascii="仿宋" w:hAnsi="仿宋" w:eastAsia="仿宋" w:cs="仿宋"/>
          <w:spacing w:val="7"/>
          <w:sz w:val="31"/>
          <w:szCs w:val="31"/>
        </w:rPr>
      </w:pPr>
      <w:r>
        <w:rPr>
          <w:rFonts w:ascii="仿宋" w:hAnsi="仿宋" w:eastAsia="仿宋" w:cs="仿宋"/>
          <w:spacing w:val="25"/>
          <w:sz w:val="31"/>
          <w:szCs w:val="31"/>
        </w:rPr>
        <w:t>七</w:t>
      </w:r>
      <w:r>
        <w:rPr>
          <w:rFonts w:ascii="仿宋" w:hAnsi="仿宋" w:eastAsia="仿宋" w:cs="仿宋"/>
          <w:spacing w:val="13"/>
          <w:sz w:val="31"/>
          <w:szCs w:val="31"/>
        </w:rPr>
        <w:t>、基本支出：是指为保障机构正常运转、完成日常工作任</w:t>
      </w:r>
      <w:r>
        <w:rPr>
          <w:rFonts w:ascii="仿宋" w:hAnsi="仿宋" w:eastAsia="仿宋" w:cs="仿宋"/>
          <w:spacing w:val="9"/>
          <w:sz w:val="31"/>
          <w:szCs w:val="31"/>
        </w:rPr>
        <w:t>务所必需的开支，其内容包括人员经费和日常公用经费两部分</w:t>
      </w:r>
      <w:r>
        <w:rPr>
          <w:rFonts w:ascii="仿宋" w:hAnsi="仿宋" w:eastAsia="仿宋" w:cs="仿宋"/>
          <w:spacing w:val="7"/>
          <w:sz w:val="31"/>
          <w:szCs w:val="31"/>
        </w:rPr>
        <w:t>。</w:t>
      </w:r>
    </w:p>
    <w:p>
      <w:pPr>
        <w:keepNext w:val="0"/>
        <w:keepLines w:val="0"/>
        <w:pageBreakBefore w:val="0"/>
        <w:widowControl/>
        <w:wordWrap/>
        <w:topLinePunct w:val="0"/>
        <w:bidi w:val="0"/>
        <w:spacing w:before="2" w:line="580" w:lineRule="exact"/>
        <w:ind w:firstLine="722"/>
        <w:rPr>
          <w:rFonts w:ascii="仿宋" w:hAnsi="仿宋" w:eastAsia="仿宋" w:cs="仿宋"/>
          <w:sz w:val="31"/>
          <w:szCs w:val="31"/>
        </w:rPr>
      </w:pPr>
      <w:r>
        <w:rPr>
          <w:rFonts w:ascii="仿宋" w:hAnsi="仿宋" w:eastAsia="仿宋" w:cs="仿宋"/>
          <w:spacing w:val="26"/>
          <w:sz w:val="31"/>
          <w:szCs w:val="31"/>
        </w:rPr>
        <w:t>八</w:t>
      </w:r>
      <w:r>
        <w:rPr>
          <w:rFonts w:ascii="仿宋" w:hAnsi="仿宋" w:eastAsia="仿宋" w:cs="仿宋"/>
          <w:spacing w:val="14"/>
          <w:sz w:val="31"/>
          <w:szCs w:val="31"/>
        </w:rPr>
        <w:t>、</w:t>
      </w:r>
      <w:r>
        <w:rPr>
          <w:rFonts w:ascii="仿宋" w:hAnsi="仿宋" w:eastAsia="仿宋" w:cs="仿宋"/>
          <w:spacing w:val="13"/>
          <w:sz w:val="31"/>
          <w:szCs w:val="31"/>
        </w:rPr>
        <w:t>项目支出：是指在基本支出之外，为完成特定的行政工</w:t>
      </w:r>
      <w:r>
        <w:rPr>
          <w:rFonts w:ascii="仿宋" w:hAnsi="仿宋" w:eastAsia="仿宋" w:cs="仿宋"/>
          <w:spacing w:val="14"/>
          <w:sz w:val="31"/>
          <w:szCs w:val="31"/>
        </w:rPr>
        <w:t>作</w:t>
      </w:r>
      <w:r>
        <w:rPr>
          <w:rFonts w:ascii="仿宋" w:hAnsi="仿宋" w:eastAsia="仿宋" w:cs="仿宋"/>
          <w:spacing w:val="8"/>
          <w:sz w:val="31"/>
          <w:szCs w:val="31"/>
        </w:rPr>
        <w:t>任务或事业发展目标所发生的支出。</w:t>
      </w:r>
    </w:p>
    <w:p>
      <w:pPr>
        <w:keepNext w:val="0"/>
        <w:keepLines w:val="0"/>
        <w:pageBreakBefore w:val="0"/>
        <w:widowControl/>
        <w:wordWrap/>
        <w:topLinePunct w:val="0"/>
        <w:bidi w:val="0"/>
        <w:spacing w:before="196" w:line="580" w:lineRule="exact"/>
        <w:ind w:left="2" w:firstLine="649"/>
        <w:rPr>
          <w:rFonts w:ascii="仿宋" w:hAnsi="仿宋" w:eastAsia="仿宋" w:cs="仿宋"/>
          <w:sz w:val="31"/>
          <w:szCs w:val="31"/>
        </w:rPr>
      </w:pPr>
      <w:r>
        <w:rPr>
          <w:rFonts w:ascii="仿宋" w:hAnsi="仿宋" w:eastAsia="仿宋" w:cs="仿宋"/>
          <w:spacing w:val="25"/>
          <w:sz w:val="31"/>
          <w:szCs w:val="31"/>
        </w:rPr>
        <w:t>九</w:t>
      </w:r>
      <w:r>
        <w:rPr>
          <w:rFonts w:ascii="仿宋" w:hAnsi="仿宋" w:eastAsia="仿宋" w:cs="仿宋"/>
          <w:spacing w:val="14"/>
          <w:sz w:val="31"/>
          <w:szCs w:val="31"/>
        </w:rPr>
        <w:t>、</w:t>
      </w:r>
      <w:r>
        <w:rPr>
          <w:rFonts w:ascii="Times New Roman" w:hAnsi="Times New Roman" w:eastAsia="Times New Roman" w:cs="Times New Roman"/>
          <w:spacing w:val="14"/>
          <w:sz w:val="31"/>
          <w:szCs w:val="31"/>
        </w:rPr>
        <w:t>“</w:t>
      </w:r>
      <w:r>
        <w:rPr>
          <w:rFonts w:ascii="仿宋" w:hAnsi="仿宋" w:eastAsia="仿宋" w:cs="仿宋"/>
          <w:spacing w:val="14"/>
          <w:sz w:val="31"/>
          <w:szCs w:val="31"/>
        </w:rPr>
        <w:t>三公</w:t>
      </w:r>
      <w:r>
        <w:rPr>
          <w:rFonts w:ascii="Times New Roman" w:hAnsi="Times New Roman" w:eastAsia="Times New Roman" w:cs="Times New Roman"/>
          <w:spacing w:val="14"/>
          <w:sz w:val="31"/>
          <w:szCs w:val="31"/>
        </w:rPr>
        <w:t>”</w:t>
      </w:r>
      <w:r>
        <w:rPr>
          <w:rFonts w:ascii="仿宋" w:hAnsi="仿宋" w:eastAsia="仿宋" w:cs="仿宋"/>
          <w:spacing w:val="14"/>
          <w:sz w:val="31"/>
          <w:szCs w:val="31"/>
        </w:rPr>
        <w:t>经费：是指纳入省级财政预算管理，部门使用财</w:t>
      </w:r>
      <w:r>
        <w:rPr>
          <w:rFonts w:ascii="仿宋" w:hAnsi="仿宋" w:eastAsia="仿宋" w:cs="仿宋"/>
          <w:spacing w:val="13"/>
          <w:sz w:val="31"/>
          <w:szCs w:val="31"/>
        </w:rPr>
        <w:t>政拨款安排的因公出国 (境) 费、公务用车购置及运行费和公</w:t>
      </w:r>
      <w:r>
        <w:rPr>
          <w:rFonts w:ascii="仿宋" w:hAnsi="仿宋" w:eastAsia="仿宋" w:cs="仿宋"/>
          <w:spacing w:val="7"/>
          <w:sz w:val="31"/>
          <w:szCs w:val="31"/>
        </w:rPr>
        <w:t>务接待费。其中， 因公出国 (境) 费反映单位公务出国 (境) 的</w:t>
      </w:r>
      <w:r>
        <w:rPr>
          <w:rFonts w:ascii="仿宋" w:hAnsi="仿宋" w:eastAsia="仿宋" w:cs="仿宋"/>
          <w:spacing w:val="5"/>
          <w:sz w:val="31"/>
          <w:szCs w:val="31"/>
        </w:rPr>
        <w:t>住</w:t>
      </w:r>
      <w:r>
        <w:rPr>
          <w:rFonts w:ascii="仿宋" w:hAnsi="仿宋" w:eastAsia="仿宋" w:cs="仿宋"/>
          <w:spacing w:val="26"/>
          <w:sz w:val="31"/>
          <w:szCs w:val="31"/>
        </w:rPr>
        <w:t>宿</w:t>
      </w:r>
      <w:r>
        <w:rPr>
          <w:rFonts w:ascii="仿宋" w:hAnsi="仿宋" w:eastAsia="仿宋" w:cs="仿宋"/>
          <w:spacing w:val="20"/>
          <w:sz w:val="31"/>
          <w:szCs w:val="31"/>
        </w:rPr>
        <w:t>费</w:t>
      </w:r>
      <w:r>
        <w:rPr>
          <w:rFonts w:ascii="仿宋" w:hAnsi="仿宋" w:eastAsia="仿宋" w:cs="仿宋"/>
          <w:spacing w:val="13"/>
          <w:sz w:val="31"/>
          <w:szCs w:val="31"/>
        </w:rPr>
        <w:t>、旅费、伙食补助费、杂费、培训费等支出；公务用车购置</w:t>
      </w:r>
      <w:r>
        <w:rPr>
          <w:rFonts w:ascii="仿宋" w:hAnsi="仿宋" w:eastAsia="仿宋" w:cs="仿宋"/>
          <w:spacing w:val="26"/>
          <w:sz w:val="31"/>
          <w:szCs w:val="31"/>
        </w:rPr>
        <w:t>及</w:t>
      </w:r>
      <w:r>
        <w:rPr>
          <w:rFonts w:ascii="仿宋" w:hAnsi="仿宋" w:eastAsia="仿宋" w:cs="仿宋"/>
          <w:spacing w:val="20"/>
          <w:sz w:val="31"/>
          <w:szCs w:val="31"/>
        </w:rPr>
        <w:t>运</w:t>
      </w:r>
      <w:r>
        <w:rPr>
          <w:rFonts w:ascii="仿宋" w:hAnsi="仿宋" w:eastAsia="仿宋" w:cs="仿宋"/>
          <w:spacing w:val="13"/>
          <w:sz w:val="31"/>
          <w:szCs w:val="31"/>
        </w:rPr>
        <w:t>行费反映单位公务用车购置费及租用费、燃料费、维修费、</w:t>
      </w:r>
      <w:r>
        <w:rPr>
          <w:rFonts w:ascii="仿宋" w:hAnsi="仿宋" w:eastAsia="仿宋" w:cs="仿宋"/>
          <w:spacing w:val="26"/>
          <w:sz w:val="31"/>
          <w:szCs w:val="31"/>
        </w:rPr>
        <w:t>过</w:t>
      </w:r>
      <w:r>
        <w:rPr>
          <w:rFonts w:ascii="仿宋" w:hAnsi="仿宋" w:eastAsia="仿宋" w:cs="仿宋"/>
          <w:spacing w:val="20"/>
          <w:sz w:val="31"/>
          <w:szCs w:val="31"/>
        </w:rPr>
        <w:t>路</w:t>
      </w:r>
      <w:r>
        <w:rPr>
          <w:rFonts w:ascii="仿宋" w:hAnsi="仿宋" w:eastAsia="仿宋" w:cs="仿宋"/>
          <w:spacing w:val="13"/>
          <w:sz w:val="31"/>
          <w:szCs w:val="31"/>
        </w:rPr>
        <w:t>过桥费、保险费、安全奖励费用等支出；公务接待费反映单</w:t>
      </w:r>
      <w:r>
        <w:rPr>
          <w:rFonts w:ascii="仿宋" w:hAnsi="仿宋" w:eastAsia="仿宋" w:cs="仿宋"/>
          <w:spacing w:val="16"/>
          <w:sz w:val="31"/>
          <w:szCs w:val="31"/>
        </w:rPr>
        <w:t>位</w:t>
      </w:r>
      <w:r>
        <w:rPr>
          <w:rFonts w:ascii="仿宋" w:hAnsi="仿宋" w:eastAsia="仿宋" w:cs="仿宋"/>
          <w:spacing w:val="11"/>
          <w:sz w:val="31"/>
          <w:szCs w:val="31"/>
        </w:rPr>
        <w:t>按</w:t>
      </w:r>
      <w:r>
        <w:rPr>
          <w:rFonts w:ascii="仿宋" w:hAnsi="仿宋" w:eastAsia="仿宋" w:cs="仿宋"/>
          <w:spacing w:val="8"/>
          <w:sz w:val="31"/>
          <w:szCs w:val="31"/>
        </w:rPr>
        <w:t>规定开支的各类公务接待 (含外宾接待) 支出。</w:t>
      </w:r>
    </w:p>
    <w:p>
      <w:pPr>
        <w:keepNext w:val="0"/>
        <w:keepLines w:val="0"/>
        <w:pageBreakBefore w:val="0"/>
        <w:widowControl/>
        <w:wordWrap/>
        <w:topLinePunct w:val="0"/>
        <w:bidi w:val="0"/>
        <w:spacing w:before="3" w:line="580" w:lineRule="exact"/>
        <w:ind w:firstLine="662"/>
        <w:rPr>
          <w:rFonts w:ascii="仿宋" w:hAnsi="仿宋" w:eastAsia="仿宋" w:cs="仿宋"/>
          <w:sz w:val="31"/>
          <w:szCs w:val="31"/>
        </w:rPr>
      </w:pPr>
      <w:r>
        <w:rPr>
          <w:rFonts w:ascii="仿宋" w:hAnsi="仿宋" w:eastAsia="仿宋" w:cs="仿宋"/>
          <w:spacing w:val="20"/>
          <w:sz w:val="31"/>
          <w:szCs w:val="31"/>
        </w:rPr>
        <w:t>十</w:t>
      </w:r>
      <w:r>
        <w:rPr>
          <w:rFonts w:ascii="仿宋" w:hAnsi="仿宋" w:eastAsia="仿宋" w:cs="仿宋"/>
          <w:spacing w:val="12"/>
          <w:sz w:val="31"/>
          <w:szCs w:val="31"/>
        </w:rPr>
        <w:t>、行政 (事业) 单位机构运转经费情况：是指为保障单位</w:t>
      </w:r>
      <w:r>
        <w:rPr>
          <w:rFonts w:ascii="仿宋" w:hAnsi="仿宋" w:eastAsia="仿宋" w:cs="仿宋"/>
          <w:spacing w:val="36"/>
          <w:sz w:val="31"/>
          <w:szCs w:val="31"/>
        </w:rPr>
        <w:t>(</w:t>
      </w:r>
      <w:r>
        <w:rPr>
          <w:rFonts w:ascii="仿宋" w:hAnsi="仿宋" w:eastAsia="仿宋" w:cs="仿宋"/>
          <w:spacing w:val="20"/>
          <w:sz w:val="31"/>
          <w:szCs w:val="31"/>
        </w:rPr>
        <w:t>包</w:t>
      </w:r>
      <w:r>
        <w:rPr>
          <w:rFonts w:ascii="仿宋" w:hAnsi="仿宋" w:eastAsia="仿宋" w:cs="仿宋"/>
          <w:spacing w:val="18"/>
          <w:sz w:val="31"/>
          <w:szCs w:val="31"/>
        </w:rPr>
        <w:t>括行政单位和事业单位) 运行用于购买货物和服务的各项资</w:t>
      </w:r>
      <w:r>
        <w:rPr>
          <w:rFonts w:ascii="仿宋" w:hAnsi="仿宋" w:eastAsia="仿宋" w:cs="仿宋"/>
          <w:spacing w:val="8"/>
          <w:sz w:val="31"/>
          <w:szCs w:val="31"/>
        </w:rPr>
        <w:t>金，包括办公及印刷费、邮电费、差旅费、会议费、福利费、 日</w:t>
      </w:r>
      <w:r>
        <w:rPr>
          <w:rFonts w:ascii="仿宋" w:hAnsi="仿宋" w:eastAsia="仿宋" w:cs="仿宋"/>
          <w:spacing w:val="14"/>
          <w:sz w:val="31"/>
          <w:szCs w:val="31"/>
        </w:rPr>
        <w:t>常维修费及一般设备购置费、办公用房水电费、办公用房取暖</w:t>
      </w:r>
      <w:r>
        <w:rPr>
          <w:rFonts w:ascii="仿宋" w:hAnsi="仿宋" w:eastAsia="仿宋" w:cs="仿宋"/>
          <w:spacing w:val="9"/>
          <w:sz w:val="31"/>
          <w:szCs w:val="31"/>
        </w:rPr>
        <w:t>费</w:t>
      </w:r>
      <w:r>
        <w:rPr>
          <w:rFonts w:ascii="仿宋" w:hAnsi="仿宋" w:eastAsia="仿宋" w:cs="仿宋"/>
          <w:spacing w:val="18"/>
          <w:sz w:val="31"/>
          <w:szCs w:val="31"/>
        </w:rPr>
        <w:t>、</w:t>
      </w:r>
      <w:r>
        <w:rPr>
          <w:rFonts w:ascii="仿宋" w:hAnsi="仿宋" w:eastAsia="仿宋" w:cs="仿宋"/>
          <w:spacing w:val="10"/>
          <w:sz w:val="31"/>
          <w:szCs w:val="31"/>
        </w:rPr>
        <w:t>办</w:t>
      </w:r>
      <w:r>
        <w:rPr>
          <w:rFonts w:ascii="仿宋" w:hAnsi="仿宋" w:eastAsia="仿宋" w:cs="仿宋"/>
          <w:spacing w:val="9"/>
          <w:sz w:val="31"/>
          <w:szCs w:val="31"/>
        </w:rPr>
        <w:t>公用房物业管理费、公务用车运行维护费以及其他费用。</w:t>
      </w:r>
    </w:p>
    <w:p>
      <w:pPr>
        <w:keepNext w:val="0"/>
        <w:keepLines w:val="0"/>
        <w:pageBreakBefore w:val="0"/>
        <w:widowControl/>
        <w:wordWrap/>
        <w:topLinePunct w:val="0"/>
        <w:bidi w:val="0"/>
        <w:spacing w:line="580" w:lineRule="exact"/>
      </w:pPr>
    </w:p>
    <w:p>
      <w:pPr>
        <w:pStyle w:val="11"/>
        <w:spacing w:after="300" w:line="599" w:lineRule="exact"/>
        <w:ind w:firstLine="0"/>
        <w:jc w:val="center"/>
        <w:rPr>
          <w:rFonts w:ascii="黑体" w:hAnsi="黑体" w:eastAsia="黑体" w:cs="黑体"/>
          <w:sz w:val="32"/>
          <w:szCs w:val="32"/>
        </w:rPr>
      </w:pPr>
      <w:r>
        <w:rPr>
          <w:rFonts w:ascii="黑体" w:hAnsi="黑体" w:eastAsia="黑体" w:cs="黑体"/>
          <w:spacing w:val="2"/>
          <w:sz w:val="31"/>
          <w:szCs w:val="31"/>
        </w:rPr>
        <w:t>附件：</w:t>
      </w:r>
      <w:r>
        <w:rPr>
          <w:rFonts w:hint="eastAsia" w:ascii="黑体" w:hAnsi="黑体" w:eastAsia="黑体" w:cs="黑体"/>
          <w:spacing w:val="2"/>
          <w:sz w:val="31"/>
          <w:szCs w:val="31"/>
        </w:rPr>
        <w:t>鹤壁鹤山区工业和信息化局</w:t>
      </w:r>
      <w:r>
        <w:rPr>
          <w:rFonts w:hint="eastAsia" w:ascii="黑体" w:hAnsi="黑体" w:eastAsia="黑体" w:cs="黑体"/>
          <w:sz w:val="32"/>
          <w:szCs w:val="32"/>
        </w:rPr>
        <w:t>202</w:t>
      </w:r>
      <w:r>
        <w:rPr>
          <w:rFonts w:hint="eastAsia" w:ascii="黑体" w:hAnsi="黑体" w:eastAsia="黑体" w:cs="黑体"/>
          <w:sz w:val="32"/>
          <w:szCs w:val="32"/>
          <w:lang w:val="en-US" w:eastAsia="zh-CN"/>
        </w:rPr>
        <w:t>3</w:t>
      </w:r>
      <w:r>
        <w:rPr>
          <w:rFonts w:hint="eastAsia" w:ascii="黑体" w:hAnsi="黑体" w:eastAsia="黑体" w:cs="黑体"/>
          <w:sz w:val="32"/>
          <w:szCs w:val="32"/>
        </w:rPr>
        <w:t>年部门预算表</w:t>
      </w:r>
    </w:p>
    <w:p>
      <w:pPr>
        <w:keepNext w:val="0"/>
        <w:keepLines w:val="0"/>
        <w:pageBreakBefore w:val="0"/>
        <w:widowControl/>
        <w:wordWrap/>
        <w:topLinePunct w:val="0"/>
        <w:bidi w:val="0"/>
        <w:spacing w:line="580" w:lineRule="exact"/>
        <w:jc w:val="both"/>
      </w:pPr>
    </w:p>
    <w:sectPr>
      <w:pgSz w:w="11906" w:h="16839"/>
      <w:pgMar w:top="1474" w:right="1757" w:bottom="1531" w:left="1357" w:header="0" w:footer="0" w:gutter="0"/>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1MzkxMWMzY2JjNGVmOGNkM2U2NDAwZWNkMmQwZTEifQ=="/>
  </w:docVars>
  <w:rsids>
    <w:rsidRoot w:val="008B5FA7"/>
    <w:rsid w:val="00012890"/>
    <w:rsid w:val="0012785B"/>
    <w:rsid w:val="001534F9"/>
    <w:rsid w:val="00187A55"/>
    <w:rsid w:val="002401F8"/>
    <w:rsid w:val="00263813"/>
    <w:rsid w:val="00286558"/>
    <w:rsid w:val="00333DDA"/>
    <w:rsid w:val="00373944"/>
    <w:rsid w:val="00563AD6"/>
    <w:rsid w:val="006D7D27"/>
    <w:rsid w:val="007402CA"/>
    <w:rsid w:val="00812C3B"/>
    <w:rsid w:val="008B5FA7"/>
    <w:rsid w:val="008E013E"/>
    <w:rsid w:val="009850E0"/>
    <w:rsid w:val="009E73AA"/>
    <w:rsid w:val="00B02AA0"/>
    <w:rsid w:val="00E513E4"/>
    <w:rsid w:val="019012FD"/>
    <w:rsid w:val="01934780"/>
    <w:rsid w:val="01A4581A"/>
    <w:rsid w:val="01BD2390"/>
    <w:rsid w:val="01D00307"/>
    <w:rsid w:val="02FC0103"/>
    <w:rsid w:val="03A74512"/>
    <w:rsid w:val="04275653"/>
    <w:rsid w:val="04734C86"/>
    <w:rsid w:val="049D3B67"/>
    <w:rsid w:val="04C9670A"/>
    <w:rsid w:val="04E452F2"/>
    <w:rsid w:val="04E570A1"/>
    <w:rsid w:val="062E2CC9"/>
    <w:rsid w:val="06361B7E"/>
    <w:rsid w:val="064E336B"/>
    <w:rsid w:val="06D27AF8"/>
    <w:rsid w:val="073C7668"/>
    <w:rsid w:val="07846919"/>
    <w:rsid w:val="07960155"/>
    <w:rsid w:val="07B216D8"/>
    <w:rsid w:val="07E8334B"/>
    <w:rsid w:val="082A3964"/>
    <w:rsid w:val="0854278F"/>
    <w:rsid w:val="086329D2"/>
    <w:rsid w:val="09A14989"/>
    <w:rsid w:val="09DC68E6"/>
    <w:rsid w:val="0AB15C77"/>
    <w:rsid w:val="0AE61DC4"/>
    <w:rsid w:val="0B304DED"/>
    <w:rsid w:val="0B41349E"/>
    <w:rsid w:val="0B462863"/>
    <w:rsid w:val="0B6D6042"/>
    <w:rsid w:val="0BA31A63"/>
    <w:rsid w:val="0BCA4FF6"/>
    <w:rsid w:val="0C0149DC"/>
    <w:rsid w:val="0C264442"/>
    <w:rsid w:val="0D117DB0"/>
    <w:rsid w:val="0D5D665E"/>
    <w:rsid w:val="0DD203DE"/>
    <w:rsid w:val="0DE325EB"/>
    <w:rsid w:val="0E657250"/>
    <w:rsid w:val="0E7B2823"/>
    <w:rsid w:val="0EBB3568"/>
    <w:rsid w:val="0F111581"/>
    <w:rsid w:val="0F3D5D2B"/>
    <w:rsid w:val="0F4D2617"/>
    <w:rsid w:val="0FAA297E"/>
    <w:rsid w:val="0FAD1102"/>
    <w:rsid w:val="0FDE750E"/>
    <w:rsid w:val="0FF52AA9"/>
    <w:rsid w:val="10DE709A"/>
    <w:rsid w:val="112A0531"/>
    <w:rsid w:val="116E67DF"/>
    <w:rsid w:val="11A958FA"/>
    <w:rsid w:val="11F92E67"/>
    <w:rsid w:val="12301B77"/>
    <w:rsid w:val="123F1DBA"/>
    <w:rsid w:val="12687563"/>
    <w:rsid w:val="128771E6"/>
    <w:rsid w:val="12EC0194"/>
    <w:rsid w:val="12F232D0"/>
    <w:rsid w:val="132B19FC"/>
    <w:rsid w:val="13307E7D"/>
    <w:rsid w:val="13384FFB"/>
    <w:rsid w:val="138A5BED"/>
    <w:rsid w:val="13DE0863"/>
    <w:rsid w:val="141334FE"/>
    <w:rsid w:val="14264FE0"/>
    <w:rsid w:val="1441611B"/>
    <w:rsid w:val="146E6986"/>
    <w:rsid w:val="1517701E"/>
    <w:rsid w:val="1548367B"/>
    <w:rsid w:val="157B135B"/>
    <w:rsid w:val="15A453F3"/>
    <w:rsid w:val="15AF54A9"/>
    <w:rsid w:val="170830C2"/>
    <w:rsid w:val="17253C74"/>
    <w:rsid w:val="17C57205"/>
    <w:rsid w:val="17E92EF4"/>
    <w:rsid w:val="18317B5A"/>
    <w:rsid w:val="18AA5162"/>
    <w:rsid w:val="19232435"/>
    <w:rsid w:val="193E571A"/>
    <w:rsid w:val="19994B83"/>
    <w:rsid w:val="19D33E5C"/>
    <w:rsid w:val="1A004525"/>
    <w:rsid w:val="1A3D7527"/>
    <w:rsid w:val="1A7647E7"/>
    <w:rsid w:val="1AFF658A"/>
    <w:rsid w:val="1B043BA1"/>
    <w:rsid w:val="1BCC3990"/>
    <w:rsid w:val="1BE51C24"/>
    <w:rsid w:val="1C1B5646"/>
    <w:rsid w:val="1C35495A"/>
    <w:rsid w:val="1CBF4223"/>
    <w:rsid w:val="1CCC6940"/>
    <w:rsid w:val="1D5E1C8E"/>
    <w:rsid w:val="1E295DF9"/>
    <w:rsid w:val="1E6F23A5"/>
    <w:rsid w:val="1ED349D9"/>
    <w:rsid w:val="1F3233D2"/>
    <w:rsid w:val="201E74B3"/>
    <w:rsid w:val="204F58BE"/>
    <w:rsid w:val="206B7A74"/>
    <w:rsid w:val="2128312E"/>
    <w:rsid w:val="215D3162"/>
    <w:rsid w:val="219537A4"/>
    <w:rsid w:val="21AC3BEE"/>
    <w:rsid w:val="21D20555"/>
    <w:rsid w:val="21DE339D"/>
    <w:rsid w:val="21E36C06"/>
    <w:rsid w:val="220A4192"/>
    <w:rsid w:val="226B2757"/>
    <w:rsid w:val="2322550C"/>
    <w:rsid w:val="2329689A"/>
    <w:rsid w:val="23733FB9"/>
    <w:rsid w:val="239301B8"/>
    <w:rsid w:val="23955CDE"/>
    <w:rsid w:val="23C465C3"/>
    <w:rsid w:val="244067E4"/>
    <w:rsid w:val="24AD52A9"/>
    <w:rsid w:val="250E5A55"/>
    <w:rsid w:val="26505044"/>
    <w:rsid w:val="26555BFF"/>
    <w:rsid w:val="26924756"/>
    <w:rsid w:val="26BA6961"/>
    <w:rsid w:val="26C568DA"/>
    <w:rsid w:val="26EE4083"/>
    <w:rsid w:val="275C1892"/>
    <w:rsid w:val="27673E35"/>
    <w:rsid w:val="277857E2"/>
    <w:rsid w:val="27FA0805"/>
    <w:rsid w:val="28090A48"/>
    <w:rsid w:val="28192E44"/>
    <w:rsid w:val="284379C6"/>
    <w:rsid w:val="28BC466F"/>
    <w:rsid w:val="28D177B8"/>
    <w:rsid w:val="29051210"/>
    <w:rsid w:val="291123BA"/>
    <w:rsid w:val="29A54BF3"/>
    <w:rsid w:val="29C4731D"/>
    <w:rsid w:val="29F67A98"/>
    <w:rsid w:val="2A73489F"/>
    <w:rsid w:val="2A73664D"/>
    <w:rsid w:val="2A9B1E2C"/>
    <w:rsid w:val="2B2C4EB3"/>
    <w:rsid w:val="2C5A5D16"/>
    <w:rsid w:val="2D4B38B1"/>
    <w:rsid w:val="2D4F7E7C"/>
    <w:rsid w:val="2DA76D39"/>
    <w:rsid w:val="2E6C3ADF"/>
    <w:rsid w:val="2F0957D2"/>
    <w:rsid w:val="2F156E2A"/>
    <w:rsid w:val="2F3E36CD"/>
    <w:rsid w:val="2F8D152A"/>
    <w:rsid w:val="2FBE4FD0"/>
    <w:rsid w:val="301F588E"/>
    <w:rsid w:val="303F3688"/>
    <w:rsid w:val="307C0952"/>
    <w:rsid w:val="31F854E1"/>
    <w:rsid w:val="34000F51"/>
    <w:rsid w:val="34711E4F"/>
    <w:rsid w:val="35004F81"/>
    <w:rsid w:val="35044A71"/>
    <w:rsid w:val="35876A57"/>
    <w:rsid w:val="35956011"/>
    <w:rsid w:val="365B04AF"/>
    <w:rsid w:val="370E1BD7"/>
    <w:rsid w:val="370E607B"/>
    <w:rsid w:val="37330101"/>
    <w:rsid w:val="374B6988"/>
    <w:rsid w:val="38431D54"/>
    <w:rsid w:val="388A7746"/>
    <w:rsid w:val="38D8249D"/>
    <w:rsid w:val="38E54BBA"/>
    <w:rsid w:val="390B0AC4"/>
    <w:rsid w:val="39363667"/>
    <w:rsid w:val="398B5761"/>
    <w:rsid w:val="3A620BB9"/>
    <w:rsid w:val="3ACD7673"/>
    <w:rsid w:val="3B1D688D"/>
    <w:rsid w:val="3B4C2CCE"/>
    <w:rsid w:val="3B8E32E7"/>
    <w:rsid w:val="3BEE0229"/>
    <w:rsid w:val="3C836BC3"/>
    <w:rsid w:val="3CF278A5"/>
    <w:rsid w:val="3E23065E"/>
    <w:rsid w:val="3E287A22"/>
    <w:rsid w:val="3E3C18BD"/>
    <w:rsid w:val="401F6C03"/>
    <w:rsid w:val="40297A82"/>
    <w:rsid w:val="406C796F"/>
    <w:rsid w:val="40A355C2"/>
    <w:rsid w:val="40C96B6F"/>
    <w:rsid w:val="418F7DB9"/>
    <w:rsid w:val="420E5181"/>
    <w:rsid w:val="42A47894"/>
    <w:rsid w:val="434B7D0F"/>
    <w:rsid w:val="43776D56"/>
    <w:rsid w:val="44676DCB"/>
    <w:rsid w:val="448434D9"/>
    <w:rsid w:val="4504461A"/>
    <w:rsid w:val="456D0411"/>
    <w:rsid w:val="45833790"/>
    <w:rsid w:val="45B663A2"/>
    <w:rsid w:val="45F14B9E"/>
    <w:rsid w:val="462F56C6"/>
    <w:rsid w:val="465A6BE7"/>
    <w:rsid w:val="466B2BA2"/>
    <w:rsid w:val="478B1022"/>
    <w:rsid w:val="47D50C1C"/>
    <w:rsid w:val="484638C8"/>
    <w:rsid w:val="48CB3DCC"/>
    <w:rsid w:val="48FC3F85"/>
    <w:rsid w:val="49080B7C"/>
    <w:rsid w:val="4A227A1C"/>
    <w:rsid w:val="4A4060F4"/>
    <w:rsid w:val="4A92193C"/>
    <w:rsid w:val="4B4734B2"/>
    <w:rsid w:val="4B5A4F93"/>
    <w:rsid w:val="4B6C3E1E"/>
    <w:rsid w:val="4C2E4457"/>
    <w:rsid w:val="4CC0351C"/>
    <w:rsid w:val="4CD15729"/>
    <w:rsid w:val="4CDB2EF7"/>
    <w:rsid w:val="4D5627D9"/>
    <w:rsid w:val="4D662315"/>
    <w:rsid w:val="4D773BA3"/>
    <w:rsid w:val="4E2F0959"/>
    <w:rsid w:val="4EE766EA"/>
    <w:rsid w:val="4EED7659"/>
    <w:rsid w:val="4F4641AC"/>
    <w:rsid w:val="4F822D0B"/>
    <w:rsid w:val="50AA076B"/>
    <w:rsid w:val="50AB0F45"/>
    <w:rsid w:val="50E84DEF"/>
    <w:rsid w:val="516B614C"/>
    <w:rsid w:val="51A057EC"/>
    <w:rsid w:val="529F5982"/>
    <w:rsid w:val="530F2B07"/>
    <w:rsid w:val="53F63FB0"/>
    <w:rsid w:val="540002B4"/>
    <w:rsid w:val="54173596"/>
    <w:rsid w:val="542019FD"/>
    <w:rsid w:val="542720D3"/>
    <w:rsid w:val="54AB4AB2"/>
    <w:rsid w:val="555A6C6B"/>
    <w:rsid w:val="55774994"/>
    <w:rsid w:val="55821CB6"/>
    <w:rsid w:val="55EB785C"/>
    <w:rsid w:val="568D446F"/>
    <w:rsid w:val="569854FE"/>
    <w:rsid w:val="5737087F"/>
    <w:rsid w:val="57CE4D40"/>
    <w:rsid w:val="59036C6A"/>
    <w:rsid w:val="59141005"/>
    <w:rsid w:val="596F4300"/>
    <w:rsid w:val="5A04713E"/>
    <w:rsid w:val="5B2F1F99"/>
    <w:rsid w:val="5B8F47E5"/>
    <w:rsid w:val="5BBC1352"/>
    <w:rsid w:val="5D643CA9"/>
    <w:rsid w:val="5D7E7207"/>
    <w:rsid w:val="5D9B1F52"/>
    <w:rsid w:val="5DCF01C6"/>
    <w:rsid w:val="5E1D432B"/>
    <w:rsid w:val="5EA92062"/>
    <w:rsid w:val="5EE96902"/>
    <w:rsid w:val="5F2E6A0B"/>
    <w:rsid w:val="5F51715B"/>
    <w:rsid w:val="5F685A79"/>
    <w:rsid w:val="5FFB68ED"/>
    <w:rsid w:val="60836DE2"/>
    <w:rsid w:val="60B3541A"/>
    <w:rsid w:val="613D0C80"/>
    <w:rsid w:val="61826B9A"/>
    <w:rsid w:val="61A42FB4"/>
    <w:rsid w:val="61B20385"/>
    <w:rsid w:val="62233ED9"/>
    <w:rsid w:val="62B611F1"/>
    <w:rsid w:val="62D376AD"/>
    <w:rsid w:val="62EE6CE8"/>
    <w:rsid w:val="62FD297C"/>
    <w:rsid w:val="63251ED3"/>
    <w:rsid w:val="63352116"/>
    <w:rsid w:val="64EA5182"/>
    <w:rsid w:val="651B4B76"/>
    <w:rsid w:val="65956E9C"/>
    <w:rsid w:val="65B12E03"/>
    <w:rsid w:val="66BC5FE0"/>
    <w:rsid w:val="677B0842"/>
    <w:rsid w:val="679F04A6"/>
    <w:rsid w:val="6811258D"/>
    <w:rsid w:val="68C70C4B"/>
    <w:rsid w:val="690E58E3"/>
    <w:rsid w:val="69831701"/>
    <w:rsid w:val="69D81A4D"/>
    <w:rsid w:val="6A381856"/>
    <w:rsid w:val="6B76151E"/>
    <w:rsid w:val="6B8F25DF"/>
    <w:rsid w:val="6BEB5A69"/>
    <w:rsid w:val="6BED79F3"/>
    <w:rsid w:val="6BFB1A23"/>
    <w:rsid w:val="6C211A7B"/>
    <w:rsid w:val="6C3D798A"/>
    <w:rsid w:val="6C72612F"/>
    <w:rsid w:val="6CBF0CA2"/>
    <w:rsid w:val="6CCA1389"/>
    <w:rsid w:val="6D0B2810"/>
    <w:rsid w:val="6D4D4500"/>
    <w:rsid w:val="6D683FEE"/>
    <w:rsid w:val="6DFE6700"/>
    <w:rsid w:val="6E5A0C83"/>
    <w:rsid w:val="6E6813FF"/>
    <w:rsid w:val="6E6C5E2B"/>
    <w:rsid w:val="6E7A30D3"/>
    <w:rsid w:val="6EC37F95"/>
    <w:rsid w:val="6EF235B1"/>
    <w:rsid w:val="6F3239AE"/>
    <w:rsid w:val="6F7044D6"/>
    <w:rsid w:val="6F9C728C"/>
    <w:rsid w:val="6FEA08BF"/>
    <w:rsid w:val="71193077"/>
    <w:rsid w:val="71306613"/>
    <w:rsid w:val="71B52674"/>
    <w:rsid w:val="72007D93"/>
    <w:rsid w:val="72231CD3"/>
    <w:rsid w:val="723B701D"/>
    <w:rsid w:val="72822E9E"/>
    <w:rsid w:val="72930C07"/>
    <w:rsid w:val="72A050D2"/>
    <w:rsid w:val="741E6BF6"/>
    <w:rsid w:val="74DD697A"/>
    <w:rsid w:val="7533218E"/>
    <w:rsid w:val="754E52B9"/>
    <w:rsid w:val="760616F0"/>
    <w:rsid w:val="766C1E9B"/>
    <w:rsid w:val="77343193"/>
    <w:rsid w:val="77701517"/>
    <w:rsid w:val="783A38D3"/>
    <w:rsid w:val="783C589D"/>
    <w:rsid w:val="793A1DDD"/>
    <w:rsid w:val="7B191EC6"/>
    <w:rsid w:val="7BA67BFD"/>
    <w:rsid w:val="7CD24A22"/>
    <w:rsid w:val="7D6438CC"/>
    <w:rsid w:val="7E152E18"/>
    <w:rsid w:val="7E553215"/>
    <w:rsid w:val="7E694F12"/>
    <w:rsid w:val="7E73524F"/>
    <w:rsid w:val="7E7E6C0F"/>
    <w:rsid w:val="7E9755DB"/>
    <w:rsid w:val="7ECE7250"/>
    <w:rsid w:val="7F4A17A5"/>
    <w:rsid w:val="7F997F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style>
  <w:style w:type="paragraph" w:styleId="4">
    <w:name w:val="footer"/>
    <w:basedOn w:val="1"/>
    <w:link w:val="10"/>
    <w:autoRedefine/>
    <w:qFormat/>
    <w:uiPriority w:val="0"/>
    <w:pPr>
      <w:tabs>
        <w:tab w:val="center" w:pos="4153"/>
        <w:tab w:val="right" w:pos="8306"/>
      </w:tabs>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jc w:val="center"/>
    </w:pPr>
    <w:rPr>
      <w:sz w:val="18"/>
      <w:szCs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character" w:customStyle="1" w:styleId="9">
    <w:name w:val="页眉 Char"/>
    <w:basedOn w:val="7"/>
    <w:link w:val="5"/>
    <w:autoRedefine/>
    <w:qFormat/>
    <w:uiPriority w:val="0"/>
    <w:rPr>
      <w:rFonts w:ascii="Arial" w:hAnsi="Arial" w:eastAsia="Arial" w:cs="Arial"/>
      <w:snapToGrid w:val="0"/>
      <w:color w:val="000000"/>
      <w:sz w:val="18"/>
      <w:szCs w:val="18"/>
    </w:rPr>
  </w:style>
  <w:style w:type="character" w:customStyle="1" w:styleId="10">
    <w:name w:val="页脚 Char"/>
    <w:basedOn w:val="7"/>
    <w:link w:val="4"/>
    <w:autoRedefine/>
    <w:qFormat/>
    <w:uiPriority w:val="0"/>
    <w:rPr>
      <w:rFonts w:ascii="Arial" w:hAnsi="Arial" w:eastAsia="Arial" w:cs="Arial"/>
      <w:snapToGrid w:val="0"/>
      <w:color w:val="000000"/>
      <w:sz w:val="18"/>
      <w:szCs w:val="18"/>
    </w:rPr>
  </w:style>
  <w:style w:type="paragraph" w:customStyle="1" w:styleId="11">
    <w:name w:val="Body text|1"/>
    <w:basedOn w:val="1"/>
    <w:autoRedefine/>
    <w:qFormat/>
    <w:uiPriority w:val="0"/>
    <w:pPr>
      <w:spacing w:line="422" w:lineRule="auto"/>
      <w:ind w:firstLine="400"/>
    </w:pPr>
    <w:rPr>
      <w:rFonts w:ascii="宋体" w:hAnsi="宋体" w:eastAsia="宋体" w:cs="宋体"/>
      <w:sz w:val="30"/>
      <w:szCs w:val="30"/>
      <w:lang w:val="zh-TW" w:eastAsia="zh-TW" w:bidi="zh-TW"/>
    </w:rPr>
  </w:style>
  <w:style w:type="paragraph" w:customStyle="1" w:styleId="12">
    <w:name w:val="Body text|3"/>
    <w:basedOn w:val="1"/>
    <w:autoRedefine/>
    <w:qFormat/>
    <w:uiPriority w:val="0"/>
    <w:pPr>
      <w:spacing w:before="220" w:after="1200"/>
      <w:jc w:val="center"/>
    </w:pPr>
    <w:rPr>
      <w:rFonts w:ascii="宋体" w:hAnsi="宋体" w:eastAsia="宋体" w:cs="宋体"/>
      <w:sz w:val="42"/>
      <w:szCs w:val="42"/>
      <w:lang w:val="zh-TW" w:eastAsia="zh-TW" w:bidi="zh-TW"/>
    </w:rPr>
  </w:style>
  <w:style w:type="paragraph" w:customStyle="1" w:styleId="13">
    <w:name w:val="Body text|2"/>
    <w:basedOn w:val="1"/>
    <w:autoRedefine/>
    <w:qFormat/>
    <w:uiPriority w:val="0"/>
    <w:pPr>
      <w:spacing w:line="600" w:lineRule="exact"/>
      <w:ind w:firstLine="330"/>
    </w:pPr>
    <w:rPr>
      <w:sz w:val="30"/>
      <w:szCs w:val="30"/>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2AA13-EFF9-43D3-A66F-205639775332}">
  <ds:schemaRefs/>
</ds:datastoreItem>
</file>

<file path=docProps/app.xml><?xml version="1.0" encoding="utf-8"?>
<Properties xmlns="http://schemas.openxmlformats.org/officeDocument/2006/extended-properties" xmlns:vt="http://schemas.openxmlformats.org/officeDocument/2006/docPropsVTypes">
  <Template>Normal</Template>
  <Pages>14</Pages>
  <Words>5078</Words>
  <Characters>5412</Characters>
  <Lines>88</Lines>
  <Paragraphs>24</Paragraphs>
  <TotalTime>0</TotalTime>
  <ScaleCrop>false</ScaleCrop>
  <LinksUpToDate>false</LinksUpToDate>
  <CharactersWithSpaces>5522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2023-05-05T09:46:00Z</dcterms:created>
  <dc:creator>千航网络</dc:creator>
  <cp:lastModifiedBy>Administrator</cp:lastModifiedBy>
  <cp:lastPrinted>2023-06-08T03:27:00Z</cp:lastPrinted>
  <dcterms:modified xsi:type="dcterms:W3CDTF">2024-04-19T03:58:57Z</dcterms:modified>
  <dc:title>【NTKO Office文档控件缺省模板】</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2023-05-05T09:48:05Z</vt:filetime>
  </property>
  <property fmtid="{D5CDD505-2E9C-101B-9397-08002B2CF9AE}" pid="4" name="KSOProductBuildVer">
    <vt:lpwstr>2052-12.1.0.16729</vt:lpwstr>
  </property>
  <property fmtid="{D5CDD505-2E9C-101B-9397-08002B2CF9AE}" pid="5" name="ICV">
    <vt:lpwstr>4B9302AAF0BD449DA1613C7676053E32_13</vt:lpwstr>
  </property>
</Properties>
</file>